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ind w:firstLine="533"/>
        <w:spacing w:before="293" w:line="191" w:lineRule="auto"/>
        <w:rPr>
          <w:rFonts w:ascii="Microsoft YaHei" w:hAnsi="Microsoft YaHei" w:eastAsia="Microsoft YaHei" w:cs="Microsoft YaHei"/>
          <w:sz w:val="16"/>
          <w:szCs w:val="16"/>
        </w:rPr>
      </w:pPr>
      <w:r>
        <w:drawing>
          <wp:anchor distT="0" distB="0" distL="0" distR="0" simplePos="0" relativeHeight="251659264" behindDoc="0" locked="0" layoutInCell="0" allowOverlap="1">
            <wp:simplePos x="0" y="0"/>
            <wp:positionH relativeFrom="page">
              <wp:posOffset>436625</wp:posOffset>
            </wp:positionH>
            <wp:positionV relativeFrom="page">
              <wp:posOffset>1891969</wp:posOffset>
            </wp:positionV>
            <wp:extent cx="6695948" cy="6832"/>
            <wp:effectExtent l="0" t="0" r="0" b="0"/>
            <wp:wrapNone/>
            <wp:docPr id="1" name="IM 1"/>
            <wp:cNvGraphicFramePr/>
            <a:graphic>
              <a:graphicData uri="http://schemas.openxmlformats.org/drawingml/2006/picture">
                <pic:pic>
                  <pic:nvPicPr>
                    <pic:cNvPr id="1" name="IM 1"/>
                    <pic:cNvPicPr/>
                  </pic:nvPicPr>
                  <pic:blipFill>
                    <a:blip r:embed="rId1"/>
                    <a:stretch>
                      <a:fillRect/>
                    </a:stretch>
                  </pic:blipFill>
                  <pic:spPr>
                    <a:xfrm rot="0">
                      <a:off x="0" y="0"/>
                      <a:ext cx="6695948" cy="6832"/>
                    </a:xfrm>
                    <a:prstGeom prst="rect">
                      <a:avLst/>
                    </a:prstGeom>
                  </pic:spPr>
                </pic:pic>
              </a:graphicData>
            </a:graphic>
          </wp:anchor>
        </w:drawing>
      </w:r>
      <w:r>
        <w:drawing>
          <wp:anchor distT="0" distB="0" distL="0" distR="0" simplePos="0" relativeHeight="251658240" behindDoc="0" locked="0" layoutInCell="0" allowOverlap="1">
            <wp:simplePos x="0" y="0"/>
            <wp:positionH relativeFrom="page">
              <wp:posOffset>368299</wp:posOffset>
            </wp:positionH>
            <wp:positionV relativeFrom="page">
              <wp:posOffset>504951</wp:posOffset>
            </wp:positionV>
            <wp:extent cx="3265982" cy="512444"/>
            <wp:effectExtent l="0" t="0" r="0" b="0"/>
            <wp:wrapNone/>
            <wp:docPr id="2" name="IM 2"/>
            <wp:cNvGraphicFramePr/>
            <a:graphic>
              <a:graphicData uri="http://schemas.openxmlformats.org/drawingml/2006/picture">
                <pic:pic>
                  <pic:nvPicPr>
                    <pic:cNvPr id="2" name="IM 2"/>
                    <pic:cNvPicPr/>
                  </pic:nvPicPr>
                  <pic:blipFill>
                    <a:blip r:embed="rId2"/>
                    <a:stretch>
                      <a:fillRect/>
                    </a:stretch>
                  </pic:blipFill>
                  <pic:spPr>
                    <a:xfrm rot="0">
                      <a:off x="0" y="0"/>
                      <a:ext cx="3265982" cy="512444"/>
                    </a:xfrm>
                    <a:prstGeom prst="rect">
                      <a:avLst/>
                    </a:prstGeom>
                  </pic:spPr>
                </pic:pic>
              </a:graphicData>
            </a:graphic>
          </wp:anchor>
        </w:drawing>
      </w:r>
      <w:r>
        <w:rPr>
          <w:rFonts w:ascii="Arial" w:hAnsi="Arial" w:eastAsia="Arial" w:cs="Arial"/>
          <w:sz w:val="16"/>
          <w:szCs w:val="16"/>
          <w:spacing w:val="-2"/>
          <w:position w:val="1"/>
        </w:rPr>
        <w:t>2022/4/27</w:t>
      </w:r>
      <w:r>
        <w:rPr>
          <w:rFonts w:ascii="Arial" w:hAnsi="Arial" w:eastAsia="Arial" w:cs="Arial"/>
          <w:sz w:val="16"/>
          <w:szCs w:val="16"/>
          <w:spacing w:val="1"/>
          <w:position w:val="1"/>
        </w:rPr>
        <w:t>                             </w:t>
      </w:r>
      <w:r>
        <w:rPr>
          <w:rFonts w:ascii="Microsoft YaHei" w:hAnsi="Microsoft YaHei" w:eastAsia="Microsoft YaHei" w:cs="Microsoft YaHei"/>
          <w:sz w:val="16"/>
          <w:szCs w:val="16"/>
          <w:spacing w:val="-2"/>
        </w:rPr>
        <w:t>推动变革融合</w:t>
      </w:r>
      <w:r>
        <w:rPr>
          <w:rFonts w:ascii="Microsoft YaHei" w:hAnsi="Microsoft YaHei" w:eastAsia="Microsoft YaHei" w:cs="Microsoft YaHei"/>
          <w:sz w:val="16"/>
          <w:szCs w:val="16"/>
          <w:spacing w:val="8"/>
          <w:w w:val="101"/>
        </w:rPr>
        <w:t>   </w:t>
      </w:r>
      <w:r>
        <w:rPr>
          <w:rFonts w:ascii="Microsoft YaHei" w:hAnsi="Microsoft YaHei" w:eastAsia="Microsoft YaHei" w:cs="Microsoft YaHei"/>
          <w:sz w:val="16"/>
          <w:szCs w:val="16"/>
          <w:spacing w:val="-2"/>
        </w:rPr>
        <w:t>实现提质增效</w:t>
      </w:r>
      <w:r>
        <w:rPr>
          <w:rFonts w:ascii="Microsoft YaHei" w:hAnsi="Microsoft YaHei" w:eastAsia="Microsoft YaHei" w:cs="Microsoft YaHei"/>
          <w:sz w:val="16"/>
          <w:szCs w:val="16"/>
        </w:rPr>
        <w:t> </w:t>
      </w:r>
      <w:r>
        <w:rPr>
          <w:rFonts w:ascii="Microsoft YaHei" w:hAnsi="Microsoft YaHei" w:eastAsia="Microsoft YaHei" w:cs="Microsoft YaHei"/>
          <w:sz w:val="16"/>
          <w:szCs w:val="16"/>
          <w:spacing w:val="-2"/>
        </w:rPr>
        <w:t>合力推动会计事业再上新台阶</w:t>
      </w:r>
      <w:r>
        <w:rPr>
          <w:rFonts w:ascii="Arial" w:hAnsi="Arial" w:eastAsia="Arial" w:cs="Arial"/>
          <w:sz w:val="16"/>
          <w:szCs w:val="16"/>
          <w:spacing w:val="-2"/>
        </w:rPr>
        <w:t>——</w:t>
      </w:r>
      <w:r>
        <w:rPr>
          <w:rFonts w:ascii="Arial" w:hAnsi="Arial" w:eastAsia="Arial" w:cs="Arial"/>
          <w:sz w:val="16"/>
          <w:szCs w:val="16"/>
          <w:spacing w:val="34"/>
        </w:rPr>
        <w:t> </w:t>
      </w:r>
      <w:r>
        <w:rPr>
          <w:rFonts w:ascii="Microsoft YaHei" w:hAnsi="Microsoft YaHei" w:eastAsia="Microsoft YaHei" w:cs="Microsoft YaHei"/>
          <w:sz w:val="16"/>
          <w:szCs w:val="16"/>
          <w:spacing w:val="-2"/>
        </w:rPr>
        <w:t>《会计改革与发展</w:t>
      </w:r>
      <w:r>
        <w:rPr>
          <w:rFonts w:ascii="Arial" w:hAnsi="Arial" w:eastAsia="Arial" w:cs="Arial"/>
          <w:sz w:val="16"/>
          <w:szCs w:val="16"/>
          <w:spacing w:val="-2"/>
        </w:rPr>
        <w:t>“</w:t>
      </w:r>
      <w:r>
        <w:rPr>
          <w:rFonts w:ascii="Microsoft YaHei" w:hAnsi="Microsoft YaHei" w:eastAsia="Microsoft YaHei" w:cs="Microsoft YaHei"/>
          <w:sz w:val="16"/>
          <w:szCs w:val="16"/>
          <w:spacing w:val="-2"/>
        </w:rPr>
        <w:t>十四五</w:t>
      </w:r>
      <w:r>
        <w:rPr>
          <w:rFonts w:ascii="Arial" w:hAnsi="Arial" w:eastAsia="Arial" w:cs="Arial"/>
          <w:sz w:val="16"/>
          <w:szCs w:val="16"/>
          <w:spacing w:val="-2"/>
        </w:rPr>
        <w:t>”</w:t>
      </w:r>
      <w:r>
        <w:rPr>
          <w:rFonts w:ascii="Microsoft YaHei" w:hAnsi="Microsoft YaHei" w:eastAsia="Microsoft YaHei" w:cs="Microsoft YaHei"/>
          <w:sz w:val="16"/>
          <w:szCs w:val="16"/>
          <w:spacing w:val="-2"/>
        </w:rPr>
        <w:t>规划纲要》系列解读之一</w:t>
      </w:r>
    </w:p>
    <w:p>
      <w:pPr>
        <w:spacing w:line="369" w:lineRule="auto"/>
        <w:rPr>
          <w:rFonts w:ascii="SimSun"/>
          <w:sz w:val="21"/>
        </w:rPr>
      </w:pPr>
      <w:r/>
    </w:p>
    <w:p>
      <w:pPr>
        <w:ind w:firstLine="9228"/>
        <w:spacing w:before="141" w:line="180" w:lineRule="auto"/>
        <w:rPr>
          <w:rFonts w:ascii="Microsoft YaHei" w:hAnsi="Microsoft YaHei" w:eastAsia="Microsoft YaHei" w:cs="Microsoft YaHei"/>
          <w:sz w:val="33"/>
          <w:szCs w:val="33"/>
        </w:rPr>
      </w:pPr>
      <w:r>
        <w:rPr>
          <w:rFonts w:ascii="Microsoft YaHei" w:hAnsi="Microsoft YaHei" w:eastAsia="Microsoft YaHei" w:cs="Microsoft YaHei"/>
          <w:sz w:val="33"/>
          <w:szCs w:val="33"/>
          <w:color w:val="002973"/>
          <w:spacing w:val="2"/>
        </w:rPr>
        <w:t>会计司</w:t>
      </w:r>
    </w:p>
    <w:p>
      <w:pPr>
        <w:rPr/>
      </w:pPr>
      <w:r/>
    </w:p>
    <w:p>
      <w:pPr>
        <w:spacing w:line="125" w:lineRule="exact"/>
        <w:rPr/>
      </w:pPr>
      <w:r/>
    </w:p>
    <w:p>
      <w:pPr>
        <w:sectPr>
          <w:pgSz w:w="11900" w:h="16839"/>
          <w:pgMar w:top="0" w:right="0" w:bottom="0" w:left="0" w:header="0" w:footer="0" w:gutter="0"/>
          <w:cols w:equalWidth="0" w:num="1">
            <w:col w:w="11900" w:space="0"/>
          </w:cols>
        </w:sectPr>
        <w:rPr/>
      </w:pPr>
    </w:p>
    <w:p>
      <w:pPr>
        <w:ind w:firstLine="803"/>
        <w:spacing w:before="147" w:line="180" w:lineRule="auto"/>
        <w:rPr>
          <w:rFonts w:ascii="Microsoft YaHei" w:hAnsi="Microsoft YaHei" w:eastAsia="Microsoft YaHei" w:cs="Microsoft YaHei"/>
          <w:sz w:val="15"/>
          <w:szCs w:val="15"/>
        </w:rPr>
      </w:pPr>
      <w:r>
        <w:rPr>
          <w:rFonts w:ascii="Microsoft YaHei" w:hAnsi="Microsoft YaHei" w:eastAsia="Microsoft YaHei" w:cs="Microsoft YaHei"/>
          <w:sz w:val="15"/>
          <w:szCs w:val="15"/>
          <w:color w:val="ABABAB"/>
          <w:spacing w:val="-1"/>
        </w:rPr>
        <w:t>2022年04月27日</w:t>
      </w:r>
      <w:r>
        <w:rPr>
          <w:rFonts w:ascii="Microsoft YaHei" w:hAnsi="Microsoft YaHei" w:eastAsia="Microsoft YaHei" w:cs="Microsoft YaHei"/>
          <w:sz w:val="15"/>
          <w:szCs w:val="15"/>
          <w:color w:val="ABABAB"/>
          <w:spacing w:val="6"/>
        </w:rPr>
        <w:t>  </w:t>
      </w:r>
      <w:r>
        <w:rPr>
          <w:rFonts w:ascii="Microsoft YaHei" w:hAnsi="Microsoft YaHei" w:eastAsia="Microsoft YaHei" w:cs="Microsoft YaHei"/>
          <w:sz w:val="15"/>
          <w:szCs w:val="15"/>
          <w:color w:val="ABABAB"/>
          <w:spacing w:val="-1"/>
        </w:rPr>
        <w:t>星期三</w:t>
      </w:r>
    </w:p>
    <w:p>
      <w:pPr>
        <w:spacing w:line="42" w:lineRule="exact"/>
        <w:rPr/>
      </w:pPr>
      <w:r/>
    </w:p>
    <w:p>
      <w:pPr>
        <w:spacing w:line="14" w:lineRule="auto"/>
        <w:rPr>
          <w:rFonts w:ascii="SimSun"/>
          <w:sz w:val="2"/>
        </w:rPr>
      </w:pPr>
      <w:r>
        <w:rPr>
          <w:rFonts w:ascii="SimSun" w:hAnsi="SimSun" w:eastAsia="SimSun" w:cs="SimSun"/>
          <w:sz w:val="2"/>
          <w:szCs w:val="2"/>
        </w:rPr>
        <w:br w:type="column"/>
      </w:r>
    </w:p>
    <w:p>
      <w:pPr>
        <w:spacing w:line="58" w:lineRule="exact"/>
        <w:rPr/>
      </w:pPr>
      <w:r/>
    </w:p>
    <w:tbl>
      <w:tblPr>
        <w:tblStyle w:val="2"/>
        <w:tblW w:w="1786" w:type="dxa"/>
        <w:tblInd w:w="638" w:type="dxa"/>
        <w:tblLayout w:type="fixed"/>
        <w:tblBorders>
          <w:left w:val="single" w:color="64A0D2" w:sz="4" w:space="0"/>
          <w:bottom w:val="single" w:color="64A0D2" w:sz="4" w:space="0"/>
          <w:right w:val="single" w:color="64A0D2" w:sz="4" w:space="0"/>
          <w:top w:val="single" w:color="64A0D2" w:sz="4" w:space="0"/>
        </w:tblBorders>
      </w:tblPr>
      <w:tblGrid>
        <w:gridCol w:w="1786"/>
      </w:tblGrid>
      <w:tr>
        <w:trPr>
          <w:trHeight w:val="281" w:hRule="atLeast"/>
        </w:trPr>
        <w:tc>
          <w:tcPr>
            <w:tcW w:w="1786" w:type="dxa"/>
            <w:vAlign w:val="top"/>
          </w:tcPr>
          <w:p>
            <w:pPr>
              <w:ind w:firstLine="78"/>
              <w:spacing w:before="71" w:line="180"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ABABAB"/>
                <w:spacing w:val="2"/>
              </w:rPr>
              <w:t>请输入关键字</w:t>
            </w:r>
          </w:p>
        </w:tc>
      </w:tr>
    </w:tbl>
    <w:p>
      <w:pPr>
        <w:spacing w:line="21" w:lineRule="exact"/>
        <w:rPr>
          <w:rFonts w:ascii="SimSun"/>
          <w:sz w:val="2"/>
        </w:rPr>
      </w:pPr>
      <w:r/>
    </w:p>
    <w:p>
      <w:pPr>
        <w:spacing w:line="14" w:lineRule="auto"/>
        <w:rPr>
          <w:rFonts w:ascii="SimSun"/>
          <w:sz w:val="2"/>
        </w:rPr>
      </w:pPr>
      <w:r>
        <w:rPr>
          <w:rFonts w:ascii="SimSun" w:hAnsi="SimSun" w:eastAsia="SimSun" w:cs="SimSun"/>
          <w:sz w:val="2"/>
          <w:szCs w:val="2"/>
        </w:rPr>
        <w:br w:type="column"/>
      </w:r>
    </w:p>
    <w:p>
      <w:pPr>
        <w:spacing w:line="58" w:lineRule="exact"/>
        <w:rPr/>
      </w:pPr>
      <w:r/>
    </w:p>
    <w:tbl>
      <w:tblPr>
        <w:tblStyle w:val="2"/>
        <w:tblW w:w="1733" w:type="dxa"/>
        <w:tblInd w:w="14" w:type="dxa"/>
        <w:tblLayout w:type="fixed"/>
        <w:tblBorders>
          <w:left w:val="single" w:color="64A0D2" w:sz="4" w:space="0"/>
          <w:bottom w:val="single" w:color="64A0D2" w:sz="4" w:space="0"/>
          <w:right w:val="single" w:color="64A0D2" w:sz="4" w:space="0"/>
          <w:top w:val="single" w:color="64A0D2" w:sz="4" w:space="0"/>
        </w:tblBorders>
      </w:tblPr>
      <w:tblGrid>
        <w:gridCol w:w="1733"/>
      </w:tblGrid>
      <w:tr>
        <w:trPr>
          <w:trHeight w:val="301" w:hRule="atLeast"/>
        </w:trPr>
        <w:tc>
          <w:tcPr>
            <w:shd w:val="clear" w:fill="FFFFFF"/>
            <w:tcW w:w="1733" w:type="dxa"/>
            <w:vAlign w:val="top"/>
          </w:tcPr>
          <w:p>
            <w:pPr>
              <w:ind w:firstLine="109"/>
              <w:spacing w:before="78" w:line="180" w:lineRule="auto"/>
              <w:rPr>
                <w:rFonts w:ascii="Microsoft YaHei" w:hAnsi="Microsoft YaHei" w:eastAsia="Microsoft YaHei" w:cs="Microsoft YaHei"/>
                <w:sz w:val="15"/>
                <w:szCs w:val="15"/>
              </w:rPr>
            </w:pPr>
            <w:r>
              <w:rPr>
                <w:rFonts w:ascii="Microsoft YaHei" w:hAnsi="Microsoft YaHei" w:eastAsia="Microsoft YaHei" w:cs="Microsoft YaHei"/>
                <w:sz w:val="15"/>
                <w:szCs w:val="15"/>
                <w:color w:val="ABABAB"/>
              </w:rPr>
              <w:t>会计司</w:t>
            </w:r>
          </w:p>
        </w:tc>
      </w:tr>
    </w:tbl>
    <w:p>
      <w:pPr>
        <w:spacing w:line="14" w:lineRule="auto"/>
        <w:rPr>
          <w:rFonts w:ascii="SimSun"/>
          <w:sz w:val="2"/>
        </w:rPr>
      </w:pPr>
      <w:r/>
    </w:p>
    <w:p>
      <w:pPr>
        <w:spacing w:line="14" w:lineRule="auto"/>
        <w:rPr>
          <w:rFonts w:ascii="SimSun"/>
          <w:sz w:val="2"/>
        </w:rPr>
      </w:pPr>
      <w:r>
        <w:rPr>
          <w:rFonts w:ascii="SimSun" w:hAnsi="SimSun" w:eastAsia="SimSun" w:cs="SimSun"/>
          <w:sz w:val="2"/>
          <w:szCs w:val="2"/>
        </w:rPr>
        <w:br w:type="column"/>
      </w:r>
    </w:p>
    <w:p>
      <w:pPr>
        <w:ind w:firstLine="109"/>
        <w:spacing w:before="80" w:line="301" w:lineRule="exact"/>
        <w:rPr>
          <w:rFonts w:ascii="Microsoft YaHei" w:hAnsi="Microsoft YaHei" w:eastAsia="Microsoft YaHei" w:cs="Microsoft YaHei"/>
          <w:sz w:val="15"/>
          <w:szCs w:val="15"/>
        </w:rPr>
      </w:pPr>
      <w:hyperlink w:history="true" r:id="rId3">
        <w:r>
          <w:rPr>
            <w:shd w:val="clear" w:fill="FFFFFE"/>
            <w:rFonts w:ascii="Microsoft YaHei" w:hAnsi="Microsoft YaHei" w:eastAsia="Microsoft YaHei" w:cs="Microsoft YaHei"/>
            <w:sz w:val="15"/>
            <w:szCs w:val="15"/>
            <w:color w:val="ABABAB"/>
            <w:spacing w:val="-1"/>
            <w:position w:val="3"/>
          </w:rPr>
          <w:t>搜索</w:t>
        </w:r>
      </w:hyperlink>
    </w:p>
    <w:p>
      <w:pPr>
        <w:spacing w:line="14" w:lineRule="auto"/>
        <w:rPr>
          <w:rFonts w:ascii="SimSun"/>
          <w:sz w:val="2"/>
        </w:rPr>
      </w:pPr>
      <w:r>
        <w:rPr>
          <w:rFonts w:ascii="SimSun" w:hAnsi="SimSun" w:eastAsia="SimSun" w:cs="SimSun"/>
          <w:sz w:val="2"/>
          <w:szCs w:val="2"/>
        </w:rPr>
        <w:br w:type="column"/>
      </w:r>
    </w:p>
    <w:p>
      <w:pPr>
        <w:ind w:firstLine="1156"/>
        <w:spacing w:before="112" w:line="191" w:lineRule="auto"/>
        <w:rPr>
          <w:rFonts w:ascii="Microsoft YaHei" w:hAnsi="Microsoft YaHei" w:eastAsia="Microsoft YaHei" w:cs="Microsoft YaHei"/>
          <w:sz w:val="15"/>
          <w:szCs w:val="15"/>
        </w:rPr>
      </w:pPr>
      <w:hyperlink w:history="true" r:id="rId4">
        <w:r>
          <w:rPr>
            <w:rFonts w:ascii="Microsoft YaHei" w:hAnsi="Microsoft YaHei" w:eastAsia="Microsoft YaHei" w:cs="Microsoft YaHei"/>
            <w:sz w:val="15"/>
            <w:szCs w:val="15"/>
            <w:color w:val="63839E"/>
          </w:rPr>
          <w:t>返回主站</w:t>
        </w:r>
      </w:hyperlink>
    </w:p>
    <w:p>
      <w:pPr>
        <w:sectPr>
          <w:type w:val="continuous"/>
          <w:pgSz w:w="11900" w:h="16839"/>
          <w:pgMar w:top="0" w:right="0" w:bottom="0" w:left="0" w:header="0" w:footer="0" w:gutter="0"/>
          <w:cols w:equalWidth="0" w:num="5">
            <w:col w:w="3128" w:space="100"/>
            <w:col w:w="2440" w:space="100"/>
            <w:col w:w="1753" w:space="75"/>
            <w:col w:w="1672" w:space="100"/>
            <w:col w:w="2533" w:space="0"/>
          </w:cols>
        </w:sectPr>
        <w:rPr/>
      </w:pPr>
    </w:p>
    <w:p>
      <w:pPr>
        <w:spacing w:line="312" w:lineRule="auto"/>
        <w:rPr>
          <w:rFonts w:ascii="SimSun"/>
          <w:sz w:val="21"/>
        </w:rPr>
      </w:pPr>
      <w:r/>
    </w:p>
    <w:p>
      <w:pPr>
        <w:ind w:firstLine="857"/>
        <w:spacing w:before="64" w:line="191" w:lineRule="auto"/>
        <w:rPr>
          <w:rFonts w:ascii="Microsoft YaHei" w:hAnsi="Microsoft YaHei" w:eastAsia="Microsoft YaHei" w:cs="Microsoft YaHei"/>
          <w:sz w:val="15"/>
          <w:szCs w:val="15"/>
        </w:rPr>
      </w:pPr>
      <w:r>
        <w:rPr>
          <w:rFonts w:ascii="Microsoft YaHei" w:hAnsi="Microsoft YaHei" w:eastAsia="Microsoft YaHei" w:cs="Microsoft YaHei"/>
          <w:sz w:val="15"/>
          <w:szCs w:val="15"/>
          <w:color w:val="333333"/>
          <w:spacing w:val="-9"/>
        </w:rPr>
        <w:t>当前位置：</w:t>
      </w:r>
      <w:r>
        <w:rPr>
          <w:rFonts w:ascii="Microsoft YaHei" w:hAnsi="Microsoft YaHei" w:eastAsia="Microsoft YaHei" w:cs="Microsoft YaHei"/>
          <w:sz w:val="15"/>
          <w:szCs w:val="15"/>
          <w:color w:val="333333"/>
          <w:spacing w:val="9"/>
        </w:rPr>
        <w:t>  </w:t>
      </w:r>
      <w:hyperlink w:history="true" r:id="rId5">
        <w:r>
          <w:rPr>
            <w:rFonts w:ascii="Microsoft YaHei" w:hAnsi="Microsoft YaHei" w:eastAsia="Microsoft YaHei" w:cs="Microsoft YaHei"/>
            <w:sz w:val="15"/>
            <w:szCs w:val="15"/>
            <w:color w:val="333333"/>
            <w:spacing w:val="-9"/>
          </w:rPr>
          <w:t>首页</w:t>
        </w:r>
      </w:hyperlink>
      <w:r>
        <w:rPr>
          <w:rFonts w:ascii="Microsoft YaHei" w:hAnsi="Microsoft YaHei" w:eastAsia="Microsoft YaHei" w:cs="Microsoft YaHei"/>
          <w:sz w:val="15"/>
          <w:szCs w:val="15"/>
          <w:color w:val="333333"/>
          <w:spacing w:val="-9"/>
        </w:rPr>
        <w:t>&gt;</w:t>
      </w:r>
      <w:hyperlink w:history="true" r:id="rId6">
        <w:r>
          <w:rPr>
            <w:rFonts w:ascii="Microsoft YaHei" w:hAnsi="Microsoft YaHei" w:eastAsia="Microsoft YaHei" w:cs="Microsoft YaHei"/>
            <w:sz w:val="15"/>
            <w:szCs w:val="15"/>
            <w:color w:val="333333"/>
            <w:spacing w:val="-9"/>
          </w:rPr>
          <w:t>政策解读</w:t>
        </w:r>
      </w:hyperlink>
    </w:p>
    <w:p>
      <w:pPr>
        <w:spacing w:line="352" w:lineRule="auto"/>
        <w:rPr>
          <w:rFonts w:ascii="SimSun"/>
          <w:sz w:val="21"/>
        </w:rPr>
      </w:pPr>
      <w:r/>
    </w:p>
    <w:p>
      <w:pPr>
        <w:ind w:firstLine="4245"/>
        <w:spacing w:before="112" w:line="482" w:lineRule="exact"/>
        <w:rPr>
          <w:rFonts w:ascii="Microsoft YaHei" w:hAnsi="Microsoft YaHei" w:eastAsia="Microsoft YaHei" w:cs="Microsoft YaHei"/>
          <w:sz w:val="26"/>
          <w:szCs w:val="26"/>
        </w:rPr>
      </w:pPr>
      <w:r>
        <w:rPr>
          <w:rFonts w:ascii="Microsoft YaHei" w:hAnsi="Microsoft YaHei" w:eastAsia="Microsoft YaHei" w:cs="Microsoft YaHei"/>
          <w:sz w:val="26"/>
          <w:szCs w:val="26"/>
          <w:b/>
          <w:bCs/>
          <w:color w:val="333333"/>
          <w:spacing w:val="-3"/>
          <w:position w:val="15"/>
        </w:rPr>
        <w:t>推动变革融合</w:t>
      </w:r>
      <w:r>
        <w:rPr>
          <w:rFonts w:ascii="Microsoft YaHei" w:hAnsi="Microsoft YaHei" w:eastAsia="Microsoft YaHei" w:cs="Microsoft YaHei"/>
          <w:sz w:val="26"/>
          <w:szCs w:val="26"/>
          <w:color w:val="333333"/>
          <w:spacing w:val="14"/>
          <w:position w:val="15"/>
        </w:rPr>
        <w:t>   </w:t>
      </w:r>
      <w:r>
        <w:rPr>
          <w:rFonts w:ascii="Microsoft YaHei" w:hAnsi="Microsoft YaHei" w:eastAsia="Microsoft YaHei" w:cs="Microsoft YaHei"/>
          <w:sz w:val="26"/>
          <w:szCs w:val="26"/>
          <w:b/>
          <w:bCs/>
          <w:color w:val="333333"/>
          <w:spacing w:val="-3"/>
          <w:position w:val="15"/>
        </w:rPr>
        <w:t>实现提质增效</w:t>
      </w:r>
    </w:p>
    <w:p>
      <w:pPr>
        <w:ind w:firstLine="4285"/>
        <w:spacing w:before="1" w:line="204" w:lineRule="auto"/>
        <w:rPr>
          <w:rFonts w:ascii="Microsoft YaHei" w:hAnsi="Microsoft YaHei" w:eastAsia="Microsoft YaHei" w:cs="Microsoft YaHei"/>
          <w:sz w:val="26"/>
          <w:szCs w:val="26"/>
        </w:rPr>
      </w:pPr>
      <w:r>
        <w:rPr>
          <w:rFonts w:ascii="Microsoft YaHei" w:hAnsi="Microsoft YaHei" w:eastAsia="Microsoft YaHei" w:cs="Microsoft YaHei"/>
          <w:sz w:val="26"/>
          <w:szCs w:val="26"/>
          <w:b/>
          <w:bCs/>
          <w:color w:val="333333"/>
          <w:spacing w:val="-2"/>
        </w:rPr>
        <w:t>合力推动会计事业再上新台阶</w:t>
      </w:r>
    </w:p>
    <w:p>
      <w:pPr>
        <w:ind w:firstLine="3392"/>
        <w:spacing w:before="159" w:line="196" w:lineRule="auto"/>
        <w:rPr>
          <w:rFonts w:ascii="KaiTi" w:hAnsi="KaiTi" w:eastAsia="KaiTi" w:cs="KaiTi"/>
          <w:sz w:val="19"/>
          <w:szCs w:val="19"/>
        </w:rPr>
      </w:pPr>
      <w:r>
        <w:rPr>
          <w:rFonts w:ascii="KaiTi" w:hAnsi="KaiTi" w:eastAsia="KaiTi" w:cs="KaiTi"/>
          <w:sz w:val="19"/>
          <w:szCs w:val="19"/>
          <w:color w:val="333333"/>
          <w:spacing w:val="2"/>
        </w:rPr>
        <w:t>——《会计改革与发展“十四五”规划纲要》</w:t>
      </w:r>
      <w:r>
        <w:rPr>
          <w:rFonts w:ascii="KaiTi" w:hAnsi="KaiTi" w:eastAsia="KaiTi" w:cs="KaiTi"/>
          <w:sz w:val="19"/>
          <w:szCs w:val="19"/>
          <w:color w:val="333333"/>
          <w:spacing w:val="43"/>
        </w:rPr>
        <w:t> </w:t>
      </w:r>
      <w:r>
        <w:rPr>
          <w:rFonts w:ascii="KaiTi" w:hAnsi="KaiTi" w:eastAsia="KaiTi" w:cs="KaiTi"/>
          <w:sz w:val="19"/>
          <w:szCs w:val="19"/>
          <w:color w:val="333333"/>
          <w:spacing w:val="2"/>
        </w:rPr>
        <w:t>系列解读之一</w:t>
      </w:r>
    </w:p>
    <w:p>
      <w:pPr>
        <w:spacing w:line="281" w:lineRule="auto"/>
        <w:rPr>
          <w:rFonts w:ascii="SimSun"/>
          <w:sz w:val="21"/>
        </w:rPr>
      </w:pPr>
      <w:r/>
    </w:p>
    <w:p>
      <w:pPr>
        <w:ind w:firstLine="4720"/>
        <w:spacing w:before="56" w:line="187" w:lineRule="auto"/>
        <w:rPr>
          <w:rFonts w:ascii="SimSun" w:hAnsi="SimSun" w:eastAsia="SimSun" w:cs="SimSun"/>
          <w:sz w:val="17"/>
          <w:szCs w:val="17"/>
        </w:rPr>
      </w:pPr>
      <w:r>
        <w:rPr>
          <w:rFonts w:ascii="SimSun" w:hAnsi="SimSun" w:eastAsia="SimSun" w:cs="SimSun"/>
          <w:sz w:val="17"/>
          <w:szCs w:val="17"/>
          <w:color w:val="333333"/>
        </w:rPr>
        <w:t>2021年12月10日</w:t>
      </w:r>
      <w:r>
        <w:rPr>
          <w:rFonts w:ascii="SimSun" w:hAnsi="SimSun" w:eastAsia="SimSun" w:cs="SimSun"/>
          <w:sz w:val="17"/>
          <w:szCs w:val="17"/>
          <w:color w:val="333333"/>
          <w:spacing w:val="7"/>
        </w:rPr>
        <w:t>   </w:t>
      </w:r>
      <w:r>
        <w:rPr>
          <w:rFonts w:ascii="SimSun" w:hAnsi="SimSun" w:eastAsia="SimSun" w:cs="SimSun"/>
          <w:sz w:val="17"/>
          <w:szCs w:val="17"/>
          <w:color w:val="333333"/>
        </w:rPr>
        <w:t>来源：会计司</w:t>
      </w:r>
    </w:p>
    <w:p>
      <w:pPr>
        <w:ind w:firstLine="1389"/>
        <w:spacing w:before="302" w:line="187" w:lineRule="auto"/>
        <w:rPr>
          <w:rFonts w:ascii="SimSun" w:hAnsi="SimSun" w:eastAsia="SimSun" w:cs="SimSun"/>
          <w:sz w:val="17"/>
          <w:szCs w:val="17"/>
        </w:rPr>
      </w:pPr>
      <w:r>
        <w:rPr>
          <w:rFonts w:ascii="SimSun" w:hAnsi="SimSun" w:eastAsia="SimSun" w:cs="SimSun"/>
          <w:sz w:val="17"/>
          <w:szCs w:val="17"/>
          <w:color w:val="333333"/>
        </w:rPr>
        <w:t>合抱之木，生于毫末；九层之台，起于累土。</w:t>
      </w:r>
    </w:p>
    <w:p>
      <w:pPr>
        <w:ind w:left="1045" w:right="1016" w:firstLine="339"/>
        <w:spacing w:before="302" w:line="327" w:lineRule="auto"/>
        <w:rPr>
          <w:rFonts w:ascii="SimSun" w:hAnsi="SimSun" w:eastAsia="SimSun" w:cs="SimSun"/>
          <w:sz w:val="17"/>
          <w:szCs w:val="17"/>
        </w:rPr>
      </w:pPr>
      <w:r>
        <w:rPr>
          <w:rFonts w:ascii="SimSun" w:hAnsi="SimSun" w:eastAsia="SimSun" w:cs="SimSun"/>
          <w:sz w:val="17"/>
          <w:szCs w:val="17"/>
          <w:color w:val="333333"/>
          <w:spacing w:val="5"/>
        </w:rPr>
        <w:t>“十四五”时期，是我国由全面建成小康社会向基本实现社会主义现代化迈进的关键时期。我国会计改革与发展，在“十三</w:t>
      </w:r>
      <w:r>
        <w:rPr>
          <w:rFonts w:ascii="SimSun" w:hAnsi="SimSun" w:eastAsia="SimSun" w:cs="SimSun"/>
          <w:sz w:val="17"/>
          <w:szCs w:val="17"/>
          <w:color w:val="333333"/>
          <w:spacing w:val="47"/>
          <w:w w:val="101"/>
        </w:rPr>
        <w:t> </w:t>
      </w:r>
      <w:r>
        <w:rPr>
          <w:rFonts w:ascii="SimSun" w:hAnsi="SimSun" w:eastAsia="SimSun" w:cs="SimSun"/>
          <w:sz w:val="17"/>
          <w:szCs w:val="17"/>
          <w:color w:val="333333"/>
          <w:spacing w:val="2"/>
        </w:rPr>
        <w:t>五”时期成功开启转型升级之路的基础上，开始步入“十四五”时期以变革融合、提质增效为特征的新阶段，并将在全面建设社会</w:t>
      </w:r>
      <w:r>
        <w:rPr>
          <w:rFonts w:ascii="SimSun" w:hAnsi="SimSun" w:eastAsia="SimSun" w:cs="SimSun"/>
          <w:sz w:val="17"/>
          <w:szCs w:val="17"/>
          <w:color w:val="333333"/>
          <w:spacing w:val="33"/>
        </w:rPr>
        <w:t> </w:t>
      </w:r>
      <w:r>
        <w:rPr>
          <w:rFonts w:ascii="SimSun" w:hAnsi="SimSun" w:eastAsia="SimSun" w:cs="SimSun"/>
          <w:sz w:val="17"/>
          <w:szCs w:val="17"/>
          <w:color w:val="333333"/>
          <w:spacing w:val="2"/>
        </w:rPr>
        <w:t>主义现代化国家新征程上发挥更加积极的作用。围绕党中央、国务院和财政部党组对新时期会计工作提出的新要求，全面细化会计</w:t>
      </w:r>
      <w:r>
        <w:rPr>
          <w:rFonts w:ascii="SimSun" w:hAnsi="SimSun" w:eastAsia="SimSun" w:cs="SimSun"/>
          <w:sz w:val="17"/>
          <w:szCs w:val="17"/>
          <w:color w:val="333333"/>
          <w:spacing w:val="33"/>
        </w:rPr>
        <w:t> </w:t>
      </w:r>
      <w:r>
        <w:rPr>
          <w:rFonts w:ascii="SimSun" w:hAnsi="SimSun" w:eastAsia="SimSun" w:cs="SimSun"/>
          <w:sz w:val="17"/>
          <w:szCs w:val="17"/>
          <w:color w:val="333333"/>
          <w:spacing w:val="2"/>
        </w:rPr>
        <w:t>改革与发展的各项工作举措并抓好落实，是全行业未来五年必须完成的重要任务。近日，财政部正式印发《会计改革与发展“十四</w:t>
      </w:r>
      <w:r>
        <w:rPr>
          <w:rFonts w:ascii="SimSun" w:hAnsi="SimSun" w:eastAsia="SimSun" w:cs="SimSun"/>
          <w:sz w:val="17"/>
          <w:szCs w:val="17"/>
          <w:color w:val="333333"/>
          <w:spacing w:val="33"/>
        </w:rPr>
        <w:t> </w:t>
      </w:r>
      <w:r>
        <w:rPr>
          <w:rFonts w:ascii="SimSun" w:hAnsi="SimSun" w:eastAsia="SimSun" w:cs="SimSun"/>
          <w:sz w:val="17"/>
          <w:szCs w:val="17"/>
          <w:color w:val="333333"/>
          <w:spacing w:val="1"/>
        </w:rPr>
        <w:t>五”规划纲要》（以下简称《规划纲要》</w:t>
      </w:r>
      <w:r>
        <w:rPr>
          <w:rFonts w:ascii="SimSun" w:hAnsi="SimSun" w:eastAsia="SimSun" w:cs="SimSun"/>
          <w:sz w:val="17"/>
          <w:szCs w:val="17"/>
          <w:color w:val="333333"/>
          <w:spacing w:val="7"/>
        </w:rPr>
        <w:t>），</w:t>
      </w:r>
      <w:r>
        <w:rPr>
          <w:rFonts w:ascii="SimSun" w:hAnsi="SimSun" w:eastAsia="SimSun" w:cs="SimSun"/>
          <w:sz w:val="17"/>
          <w:szCs w:val="17"/>
          <w:color w:val="333333"/>
          <w:spacing w:val="1"/>
        </w:rPr>
        <w:t>对未来五年我国会计改革与发展作出全面部署。</w:t>
      </w:r>
    </w:p>
    <w:p>
      <w:pPr>
        <w:ind w:firstLine="1391"/>
        <w:spacing w:before="172" w:line="187" w:lineRule="auto"/>
        <w:rPr>
          <w:rFonts w:ascii="SimSun" w:hAnsi="SimSun" w:eastAsia="SimSun" w:cs="SimSun"/>
          <w:sz w:val="17"/>
          <w:szCs w:val="17"/>
        </w:rPr>
      </w:pPr>
      <w:r>
        <w:rPr>
          <w:rFonts w:ascii="SimSun" w:hAnsi="SimSun" w:eastAsia="SimSun" w:cs="SimSun"/>
          <w:sz w:val="17"/>
          <w:szCs w:val="17"/>
          <w:color w:val="333333"/>
          <w:spacing w:val="7"/>
        </w:rPr>
        <w:t>一、把握机遇，深刻认识《规划纲要》</w:t>
      </w:r>
      <w:r>
        <w:rPr>
          <w:rFonts w:ascii="SimSun" w:hAnsi="SimSun" w:eastAsia="SimSun" w:cs="SimSun"/>
          <w:sz w:val="17"/>
          <w:szCs w:val="17"/>
          <w:color w:val="333333"/>
          <w:spacing w:val="25"/>
        </w:rPr>
        <w:t> </w:t>
      </w:r>
      <w:r>
        <w:rPr>
          <w:rFonts w:ascii="SimSun" w:hAnsi="SimSun" w:eastAsia="SimSun" w:cs="SimSun"/>
          <w:sz w:val="17"/>
          <w:szCs w:val="17"/>
          <w:color w:val="333333"/>
          <w:spacing w:val="7"/>
        </w:rPr>
        <w:t>的重大意义</w:t>
      </w:r>
    </w:p>
    <w:p>
      <w:pPr>
        <w:ind w:firstLine="1394"/>
        <w:spacing w:before="301" w:line="187" w:lineRule="auto"/>
        <w:rPr>
          <w:rFonts w:ascii="SimSun" w:hAnsi="SimSun" w:eastAsia="SimSun" w:cs="SimSun"/>
          <w:sz w:val="17"/>
          <w:szCs w:val="17"/>
        </w:rPr>
      </w:pPr>
      <w:r>
        <w:rPr>
          <w:rFonts w:ascii="SimSun" w:hAnsi="SimSun" w:eastAsia="SimSun" w:cs="SimSun"/>
          <w:sz w:val="17"/>
          <w:szCs w:val="17"/>
          <w:color w:val="333333"/>
        </w:rPr>
        <w:t>（一）“十四五”时期会计改革与发展机遇和挑战并存。</w:t>
      </w:r>
    </w:p>
    <w:p>
      <w:pPr>
        <w:ind w:left="1044" w:right="1016" w:firstLine="334"/>
        <w:spacing w:before="304" w:line="327" w:lineRule="auto"/>
        <w:rPr>
          <w:rFonts w:ascii="SimSun" w:hAnsi="SimSun" w:eastAsia="SimSun" w:cs="SimSun"/>
          <w:sz w:val="17"/>
          <w:szCs w:val="17"/>
        </w:rPr>
      </w:pPr>
      <w:r>
        <w:rPr>
          <w:rFonts w:ascii="SimSun" w:hAnsi="SimSun" w:eastAsia="SimSun" w:cs="SimSun"/>
          <w:sz w:val="17"/>
          <w:szCs w:val="17"/>
          <w:color w:val="333333"/>
        </w:rPr>
        <w:t>“十三五”时期会计改革与发展呈现出以下几个亮点：</w:t>
      </w:r>
      <w:r>
        <w:rPr>
          <w:rFonts w:ascii="SimSun" w:hAnsi="SimSun" w:eastAsia="SimSun" w:cs="SimSun"/>
          <w:sz w:val="17"/>
          <w:szCs w:val="17"/>
          <w:color w:val="333333"/>
          <w:spacing w:val="65"/>
          <w:w w:val="101"/>
        </w:rPr>
        <w:t> </w:t>
      </w:r>
      <w:r>
        <w:rPr>
          <w:rFonts w:ascii="SimSun" w:hAnsi="SimSun" w:eastAsia="SimSun" w:cs="SimSun"/>
          <w:sz w:val="17"/>
          <w:szCs w:val="17"/>
          <w:color w:val="333333"/>
        </w:rPr>
        <w:t>一是落实全面依法治国方略，会计法治建设成效明显。</w:t>
      </w:r>
      <w:r>
        <w:rPr>
          <w:rFonts w:ascii="SimSun" w:hAnsi="SimSun" w:eastAsia="SimSun" w:cs="SimSun"/>
          <w:sz w:val="17"/>
          <w:szCs w:val="17"/>
          <w:color w:val="333333"/>
          <w:spacing w:val="-82"/>
        </w:rPr>
        <w:t> </w:t>
      </w:r>
      <w:r>
        <w:rPr>
          <w:rFonts w:ascii="SimSun" w:hAnsi="SimSun" w:eastAsia="SimSun" w:cs="SimSun"/>
          <w:sz w:val="17"/>
          <w:szCs w:val="17"/>
          <w:color w:val="333333"/>
        </w:rPr>
        <w:t>《中华人民共和</w:t>
      </w:r>
      <w:r>
        <w:rPr>
          <w:rFonts w:ascii="SimSun" w:hAnsi="SimSun" w:eastAsia="SimSun" w:cs="SimSun"/>
          <w:sz w:val="17"/>
          <w:szCs w:val="17"/>
          <w:color w:val="333333"/>
        </w:rPr>
        <w:t> </w:t>
      </w:r>
      <w:r>
        <w:rPr>
          <w:rFonts w:ascii="SimSun" w:hAnsi="SimSun" w:eastAsia="SimSun" w:cs="SimSun"/>
          <w:sz w:val="17"/>
          <w:szCs w:val="17"/>
          <w:color w:val="333333"/>
          <w:spacing w:val="3"/>
        </w:rPr>
        <w:t>国会计法》</w:t>
      </w:r>
      <w:r>
        <w:rPr>
          <w:rFonts w:ascii="SimSun" w:hAnsi="SimSun" w:eastAsia="SimSun" w:cs="SimSun"/>
          <w:sz w:val="17"/>
          <w:szCs w:val="17"/>
          <w:color w:val="333333"/>
          <w:spacing w:val="58"/>
        </w:rPr>
        <w:t> </w:t>
      </w:r>
      <w:r>
        <w:rPr>
          <w:rFonts w:ascii="SimSun" w:hAnsi="SimSun" w:eastAsia="SimSun" w:cs="SimSun"/>
          <w:sz w:val="17"/>
          <w:szCs w:val="17"/>
          <w:color w:val="333333"/>
          <w:spacing w:val="3"/>
        </w:rPr>
        <w:t>和《中华人民共和国注册会计师法》</w:t>
      </w:r>
      <w:r>
        <w:rPr>
          <w:rFonts w:ascii="SimSun" w:hAnsi="SimSun" w:eastAsia="SimSun" w:cs="SimSun"/>
          <w:sz w:val="17"/>
          <w:szCs w:val="17"/>
          <w:color w:val="333333"/>
          <w:spacing w:val="4"/>
        </w:rPr>
        <w:t> </w:t>
      </w:r>
      <w:r>
        <w:rPr>
          <w:rFonts w:ascii="SimSun" w:hAnsi="SimSun" w:eastAsia="SimSun" w:cs="SimSun"/>
          <w:sz w:val="17"/>
          <w:szCs w:val="17"/>
          <w:color w:val="333333"/>
          <w:spacing w:val="3"/>
        </w:rPr>
        <w:t>修订工作取得积极进展，4项部门规章修订并有效实施，16项规范性文件相继出</w:t>
      </w:r>
      <w:r>
        <w:rPr>
          <w:rFonts w:ascii="SimSun" w:hAnsi="SimSun" w:eastAsia="SimSun" w:cs="SimSun"/>
          <w:sz w:val="17"/>
          <w:szCs w:val="17"/>
          <w:color w:val="333333"/>
        </w:rPr>
        <w:t> </w:t>
      </w:r>
      <w:r>
        <w:rPr>
          <w:rFonts w:ascii="SimSun" w:hAnsi="SimSun" w:eastAsia="SimSun" w:cs="SimSun"/>
          <w:sz w:val="17"/>
          <w:szCs w:val="17"/>
          <w:color w:val="333333"/>
          <w:spacing w:val="-1"/>
        </w:rPr>
        <w:t>台；</w:t>
      </w:r>
      <w:r>
        <w:rPr>
          <w:rFonts w:ascii="SimSun" w:hAnsi="SimSun" w:eastAsia="SimSun" w:cs="SimSun"/>
          <w:sz w:val="17"/>
          <w:szCs w:val="17"/>
          <w:color w:val="333333"/>
          <w:spacing w:val="84"/>
        </w:rPr>
        <w:t> </w:t>
      </w:r>
      <w:r>
        <w:rPr>
          <w:rFonts w:ascii="SimSun" w:hAnsi="SimSun" w:eastAsia="SimSun" w:cs="SimSun"/>
          <w:sz w:val="17"/>
          <w:szCs w:val="17"/>
          <w:color w:val="333333"/>
          <w:spacing w:val="-1"/>
        </w:rPr>
        <w:t>会计人员诚信建设扎实推进，</w:t>
      </w:r>
      <w:r>
        <w:rPr>
          <w:rFonts w:ascii="SimSun" w:hAnsi="SimSun" w:eastAsia="SimSun" w:cs="SimSun"/>
          <w:sz w:val="17"/>
          <w:szCs w:val="17"/>
          <w:color w:val="333333"/>
          <w:spacing w:val="-49"/>
        </w:rPr>
        <w:t> </w:t>
      </w:r>
      <w:r>
        <w:rPr>
          <w:rFonts w:ascii="SimSun" w:hAnsi="SimSun" w:eastAsia="SimSun" w:cs="SimSun"/>
          <w:sz w:val="17"/>
          <w:szCs w:val="17"/>
          <w:color w:val="333333"/>
          <w:spacing w:val="-1"/>
        </w:rPr>
        <w:t>良法促进发展保障善治的会计法治环境正在逐步形成。二是着眼高质量发展，会计审计标准体系</w:t>
      </w:r>
      <w:r>
        <w:rPr>
          <w:rFonts w:ascii="SimSun" w:hAnsi="SimSun" w:eastAsia="SimSun" w:cs="SimSun"/>
          <w:sz w:val="17"/>
          <w:szCs w:val="17"/>
          <w:color w:val="333333"/>
        </w:rPr>
        <w:t> </w:t>
      </w:r>
      <w:r>
        <w:rPr>
          <w:rFonts w:ascii="SimSun" w:hAnsi="SimSun" w:eastAsia="SimSun" w:cs="SimSun"/>
          <w:sz w:val="17"/>
          <w:szCs w:val="17"/>
          <w:color w:val="333333"/>
          <w:spacing w:val="-3"/>
        </w:rPr>
        <w:t>建设与实施成绩显著。政府会计准则制度体系基本建成并顺利实施；</w:t>
      </w:r>
      <w:r>
        <w:rPr>
          <w:rFonts w:ascii="SimSun" w:hAnsi="SimSun" w:eastAsia="SimSun" w:cs="SimSun"/>
          <w:sz w:val="17"/>
          <w:szCs w:val="17"/>
          <w:color w:val="333333"/>
          <w:spacing w:val="88"/>
          <w:w w:val="101"/>
        </w:rPr>
        <w:t> </w:t>
      </w:r>
      <w:r>
        <w:rPr>
          <w:rFonts w:ascii="SimSun" w:hAnsi="SimSun" w:eastAsia="SimSun" w:cs="SimSun"/>
          <w:sz w:val="17"/>
          <w:szCs w:val="17"/>
          <w:color w:val="333333"/>
          <w:spacing w:val="-3"/>
        </w:rPr>
        <w:t>企业会计准则高质量建设和高标准执行相互促进；</w:t>
      </w:r>
      <w:r>
        <w:rPr>
          <w:rFonts w:ascii="SimSun" w:hAnsi="SimSun" w:eastAsia="SimSun" w:cs="SimSun"/>
          <w:sz w:val="17"/>
          <w:szCs w:val="17"/>
          <w:color w:val="333333"/>
          <w:spacing w:val="60"/>
        </w:rPr>
        <w:t> </w:t>
      </w:r>
      <w:r>
        <w:rPr>
          <w:rFonts w:ascii="SimSun" w:hAnsi="SimSun" w:eastAsia="SimSun" w:cs="SimSun"/>
          <w:sz w:val="17"/>
          <w:szCs w:val="17"/>
          <w:color w:val="333333"/>
          <w:spacing w:val="-3"/>
        </w:rPr>
        <w:t>以规范审计</w:t>
      </w:r>
      <w:r>
        <w:rPr>
          <w:rFonts w:ascii="SimSun" w:hAnsi="SimSun" w:eastAsia="SimSun" w:cs="SimSun"/>
          <w:sz w:val="17"/>
          <w:szCs w:val="17"/>
          <w:color w:val="333333"/>
        </w:rPr>
        <w:t> </w:t>
      </w:r>
      <w:r>
        <w:rPr>
          <w:rFonts w:ascii="SimSun" w:hAnsi="SimSun" w:eastAsia="SimSun" w:cs="SimSun"/>
          <w:sz w:val="17"/>
          <w:szCs w:val="17"/>
          <w:color w:val="333333"/>
          <w:spacing w:val="2"/>
        </w:rPr>
        <w:t>秩序、提升会计师事务所审计质量为主线的审计标准体系持续完善。三是顺应经济社会发展要求，推动会计职能拓展升级，管理会</w:t>
      </w:r>
      <w:r>
        <w:rPr>
          <w:rFonts w:ascii="SimSun" w:hAnsi="SimSun" w:eastAsia="SimSun" w:cs="SimSun"/>
          <w:sz w:val="17"/>
          <w:szCs w:val="17"/>
          <w:color w:val="333333"/>
          <w:spacing w:val="34"/>
        </w:rPr>
        <w:t> </w:t>
      </w:r>
      <w:r>
        <w:rPr>
          <w:rFonts w:ascii="SimSun" w:hAnsi="SimSun" w:eastAsia="SimSun" w:cs="SimSun"/>
          <w:sz w:val="17"/>
          <w:szCs w:val="17"/>
          <w:color w:val="333333"/>
          <w:spacing w:val="2"/>
        </w:rPr>
        <w:t>计、内部控制和会计信息化建设迈上更高台阶。四是贯彻人才强国战略，人才质量稳步提升，人才结构不断优化。截至2020年底，</w:t>
      </w:r>
      <w:r>
        <w:rPr>
          <w:rFonts w:ascii="SimSun" w:hAnsi="SimSun" w:eastAsia="SimSun" w:cs="SimSun"/>
          <w:sz w:val="17"/>
          <w:szCs w:val="17"/>
          <w:color w:val="333333"/>
          <w:spacing w:val="30"/>
        </w:rPr>
        <w:t> </w:t>
      </w:r>
      <w:r>
        <w:rPr>
          <w:rFonts w:ascii="SimSun" w:hAnsi="SimSun" w:eastAsia="SimSun" w:cs="SimSun"/>
          <w:sz w:val="17"/>
          <w:szCs w:val="17"/>
          <w:color w:val="333333"/>
          <w:spacing w:val="3"/>
        </w:rPr>
        <w:t>具备初级会计专业技术资格的人员达到670.20万人，具备中级资格人员达到242.02万人，具备高级资格人员达到20.57万人，分别</w:t>
      </w:r>
      <w:r>
        <w:rPr>
          <w:rFonts w:ascii="SimSun" w:hAnsi="SimSun" w:eastAsia="SimSun" w:cs="SimSun"/>
          <w:sz w:val="17"/>
          <w:szCs w:val="17"/>
          <w:color w:val="333333"/>
          <w:spacing w:val="38"/>
        </w:rPr>
        <w:t> </w:t>
      </w:r>
      <w:r>
        <w:rPr>
          <w:rFonts w:ascii="SimSun" w:hAnsi="SimSun" w:eastAsia="SimSun" w:cs="SimSun"/>
          <w:sz w:val="17"/>
          <w:szCs w:val="17"/>
          <w:color w:val="333333"/>
          <w:spacing w:val="3"/>
        </w:rPr>
        <w:t>比2015年底增长79.3%、50.6%、73.1%。五是深化会计审计领域“放管服”改革，持续推动会计管理工作转型，会计服务市场活力</w:t>
      </w:r>
      <w:r>
        <w:rPr>
          <w:rFonts w:ascii="SimSun" w:hAnsi="SimSun" w:eastAsia="SimSun" w:cs="SimSun"/>
          <w:sz w:val="17"/>
          <w:szCs w:val="17"/>
          <w:color w:val="333333"/>
          <w:spacing w:val="35"/>
        </w:rPr>
        <w:t> </w:t>
      </w:r>
      <w:r>
        <w:rPr>
          <w:rFonts w:ascii="SimSun" w:hAnsi="SimSun" w:eastAsia="SimSun" w:cs="SimSun"/>
          <w:sz w:val="17"/>
          <w:szCs w:val="17"/>
          <w:color w:val="333333"/>
          <w:spacing w:val="2"/>
        </w:rPr>
        <w:t>充分激发。按照党中央、国务院有关部署，取消会计从业资格行政许可、会计师事务所从事证券期货业务资格审批，下放中介机构</w:t>
      </w:r>
      <w:r>
        <w:rPr>
          <w:rFonts w:ascii="SimSun" w:hAnsi="SimSun" w:eastAsia="SimSun" w:cs="SimSun"/>
          <w:sz w:val="17"/>
          <w:szCs w:val="17"/>
          <w:color w:val="333333"/>
          <w:spacing w:val="34"/>
        </w:rPr>
        <w:t> </w:t>
      </w:r>
      <w:r>
        <w:rPr>
          <w:rFonts w:ascii="SimSun" w:hAnsi="SimSun" w:eastAsia="SimSun" w:cs="SimSun"/>
          <w:sz w:val="17"/>
          <w:szCs w:val="17"/>
          <w:color w:val="333333"/>
          <w:spacing w:val="-2"/>
        </w:rPr>
        <w:t>从事代理记账业务审批、会计师事务所分支机构设立审批等审批事项；</w:t>
      </w:r>
      <w:r>
        <w:rPr>
          <w:rFonts w:ascii="SimSun" w:hAnsi="SimSun" w:eastAsia="SimSun" w:cs="SimSun"/>
          <w:sz w:val="17"/>
          <w:szCs w:val="17"/>
          <w:color w:val="333333"/>
          <w:spacing w:val="45"/>
        </w:rPr>
        <w:t> </w:t>
      </w:r>
      <w:r>
        <w:rPr>
          <w:rFonts w:ascii="SimSun" w:hAnsi="SimSun" w:eastAsia="SimSun" w:cs="SimSun"/>
          <w:sz w:val="17"/>
          <w:szCs w:val="17"/>
          <w:color w:val="333333"/>
          <w:spacing w:val="-2"/>
        </w:rPr>
        <w:t>配合做好自贸试验区“证照分离”改革全覆盖试点工作；</w:t>
      </w:r>
      <w:r>
        <w:rPr>
          <w:rFonts w:ascii="SimSun" w:hAnsi="SimSun" w:eastAsia="SimSun" w:cs="SimSun"/>
          <w:sz w:val="17"/>
          <w:szCs w:val="17"/>
          <w:color w:val="333333"/>
          <w:spacing w:val="47"/>
        </w:rPr>
        <w:t> </w:t>
      </w:r>
      <w:r>
        <w:rPr>
          <w:rFonts w:ascii="SimSun" w:hAnsi="SimSun" w:eastAsia="SimSun" w:cs="SimSun"/>
          <w:sz w:val="17"/>
          <w:szCs w:val="17"/>
          <w:color w:val="333333"/>
          <w:spacing w:val="-2"/>
        </w:rPr>
        <w:t>进</w:t>
      </w:r>
      <w:r>
        <w:rPr>
          <w:rFonts w:ascii="SimSun" w:hAnsi="SimSun" w:eastAsia="SimSun" w:cs="SimSun"/>
          <w:sz w:val="17"/>
          <w:szCs w:val="17"/>
          <w:color w:val="333333"/>
        </w:rPr>
        <w:t> </w:t>
      </w:r>
      <w:r>
        <w:rPr>
          <w:rFonts w:ascii="SimSun" w:hAnsi="SimSun" w:eastAsia="SimSun" w:cs="SimSun"/>
          <w:sz w:val="17"/>
          <w:szCs w:val="17"/>
          <w:color w:val="333333"/>
          <w:spacing w:val="2"/>
        </w:rPr>
        <w:t>一步加强会计师事务所和代理记账机构及其从业人员的事中事后监管。六是积极参与会计国际标准的制定和国际事务治理，会计国</w:t>
      </w:r>
      <w:r>
        <w:rPr>
          <w:rFonts w:ascii="SimSun" w:hAnsi="SimSun" w:eastAsia="SimSun" w:cs="SimSun"/>
          <w:sz w:val="17"/>
          <w:szCs w:val="17"/>
          <w:color w:val="333333"/>
          <w:spacing w:val="34"/>
        </w:rPr>
        <w:t> </w:t>
      </w:r>
      <w:r>
        <w:rPr>
          <w:rFonts w:ascii="SimSun" w:hAnsi="SimSun" w:eastAsia="SimSun" w:cs="SimSun"/>
          <w:sz w:val="17"/>
          <w:szCs w:val="17"/>
          <w:color w:val="333333"/>
          <w:spacing w:val="1"/>
        </w:rPr>
        <w:t>际化进程取得新的突破，中国在国际会计事务和规则制定中的话语权和影响力不断提升。</w:t>
      </w:r>
    </w:p>
    <w:p>
      <w:pPr>
        <w:ind w:left="1044" w:right="1016" w:firstLine="344"/>
        <w:spacing w:before="173" w:line="327" w:lineRule="auto"/>
        <w:rPr>
          <w:rFonts w:ascii="SimSun" w:hAnsi="SimSun" w:eastAsia="SimSun" w:cs="SimSun"/>
          <w:sz w:val="17"/>
          <w:szCs w:val="17"/>
        </w:rPr>
      </w:pPr>
      <w:r>
        <w:rPr>
          <w:rFonts w:ascii="SimSun" w:hAnsi="SimSun" w:eastAsia="SimSun" w:cs="SimSun"/>
          <w:sz w:val="17"/>
          <w:szCs w:val="17"/>
          <w:color w:val="333333"/>
          <w:spacing w:val="2"/>
        </w:rPr>
        <w:t>机遇与挑战同在，成绩与问题并存。在肯定“十三五”时期会计改革与发展取得成绩的同时，我们还应当正视会计工作中存在</w:t>
      </w:r>
      <w:r>
        <w:rPr>
          <w:rFonts w:ascii="SimSun" w:hAnsi="SimSun" w:eastAsia="SimSun" w:cs="SimSun"/>
          <w:sz w:val="17"/>
          <w:szCs w:val="17"/>
          <w:color w:val="333333"/>
          <w:spacing w:val="33"/>
          <w:w w:val="101"/>
        </w:rPr>
        <w:t> </w:t>
      </w:r>
      <w:r>
        <w:rPr>
          <w:rFonts w:ascii="SimSun" w:hAnsi="SimSun" w:eastAsia="SimSun" w:cs="SimSun"/>
          <w:sz w:val="17"/>
          <w:szCs w:val="17"/>
          <w:color w:val="333333"/>
          <w:spacing w:val="1"/>
        </w:rPr>
        <w:t>的问题与不足。一是相较于全面依法治国要求，会计法治建设仍有待加强。比如，</w:t>
      </w:r>
      <w:r>
        <w:rPr>
          <w:rFonts w:ascii="SimSun" w:hAnsi="SimSun" w:eastAsia="SimSun" w:cs="SimSun"/>
          <w:sz w:val="17"/>
          <w:szCs w:val="17"/>
          <w:color w:val="333333"/>
          <w:spacing w:val="-79"/>
        </w:rPr>
        <w:t> </w:t>
      </w:r>
      <w:r>
        <w:rPr>
          <w:rFonts w:ascii="SimSun" w:hAnsi="SimSun" w:eastAsia="SimSun" w:cs="SimSun"/>
          <w:sz w:val="17"/>
          <w:szCs w:val="17"/>
          <w:color w:val="333333"/>
          <w:spacing w:val="1"/>
        </w:rPr>
        <w:t>《中华人民共和国会计法》</w:t>
      </w:r>
      <w:r>
        <w:rPr>
          <w:rFonts w:ascii="SimSun" w:hAnsi="SimSun" w:eastAsia="SimSun" w:cs="SimSun"/>
          <w:sz w:val="17"/>
          <w:szCs w:val="17"/>
          <w:color w:val="333333"/>
        </w:rPr>
        <w:t> </w:t>
      </w:r>
      <w:r>
        <w:rPr>
          <w:rFonts w:ascii="SimSun" w:hAnsi="SimSun" w:eastAsia="SimSun" w:cs="SimSun"/>
          <w:sz w:val="17"/>
          <w:szCs w:val="17"/>
          <w:color w:val="333333"/>
          <w:spacing w:val="1"/>
        </w:rPr>
        <w:t>和《中华人民共和国</w:t>
      </w:r>
      <w:r>
        <w:rPr>
          <w:rFonts w:ascii="SimSun" w:hAnsi="SimSun" w:eastAsia="SimSun" w:cs="SimSun"/>
          <w:sz w:val="17"/>
          <w:szCs w:val="17"/>
          <w:color w:val="333333"/>
        </w:rPr>
        <w:t> </w:t>
      </w:r>
      <w:r>
        <w:rPr>
          <w:rFonts w:ascii="SimSun" w:hAnsi="SimSun" w:eastAsia="SimSun" w:cs="SimSun"/>
          <w:sz w:val="17"/>
          <w:szCs w:val="17"/>
          <w:color w:val="333333"/>
        </w:rPr>
        <w:t>注册会计师法》</w:t>
      </w:r>
      <w:r>
        <w:rPr>
          <w:rFonts w:ascii="SimSun" w:hAnsi="SimSun" w:eastAsia="SimSun" w:cs="SimSun"/>
          <w:sz w:val="17"/>
          <w:szCs w:val="17"/>
          <w:color w:val="333333"/>
          <w:spacing w:val="63"/>
        </w:rPr>
        <w:t> </w:t>
      </w:r>
      <w:r>
        <w:rPr>
          <w:rFonts w:ascii="SimSun" w:hAnsi="SimSun" w:eastAsia="SimSun" w:cs="SimSun"/>
          <w:sz w:val="17"/>
          <w:szCs w:val="17"/>
          <w:color w:val="333333"/>
        </w:rPr>
        <w:t>滞后于会计改革与发展，行业法治意识有待增强，诚信体系建设有待完善。二是相较于经济社会发展需求，会计审</w:t>
      </w:r>
      <w:r>
        <w:rPr>
          <w:rFonts w:ascii="SimSun" w:hAnsi="SimSun" w:eastAsia="SimSun" w:cs="SimSun"/>
          <w:sz w:val="17"/>
          <w:szCs w:val="17"/>
          <w:color w:val="333333"/>
        </w:rPr>
        <w:t> </w:t>
      </w:r>
      <w:r>
        <w:rPr>
          <w:rFonts w:ascii="SimSun" w:hAnsi="SimSun" w:eastAsia="SimSun" w:cs="SimSun"/>
          <w:sz w:val="17"/>
          <w:szCs w:val="17"/>
          <w:color w:val="333333"/>
          <w:spacing w:val="2"/>
        </w:rPr>
        <w:t>计标准体系建设和实施仍有待加强。比如，面对经济社会发展出现的新情况、新问题，会计审计标准体系需及时跟进，更好发挥会</w:t>
      </w:r>
      <w:r>
        <w:rPr>
          <w:rFonts w:ascii="SimSun" w:hAnsi="SimSun" w:eastAsia="SimSun" w:cs="SimSun"/>
          <w:sz w:val="17"/>
          <w:szCs w:val="17"/>
          <w:color w:val="333333"/>
          <w:spacing w:val="34"/>
        </w:rPr>
        <w:t> </w:t>
      </w:r>
      <w:r>
        <w:rPr>
          <w:rFonts w:ascii="SimSun" w:hAnsi="SimSun" w:eastAsia="SimSun" w:cs="SimSun"/>
          <w:sz w:val="17"/>
          <w:szCs w:val="17"/>
          <w:color w:val="333333"/>
          <w:spacing w:val="2"/>
        </w:rPr>
        <w:t>计工作服务经济社会发展大局的效能。三是相较于“放管服”改革要求，会计服务市场管理改革仍需深化。比如，如何改进和加强</w:t>
      </w:r>
      <w:r>
        <w:rPr>
          <w:rFonts w:ascii="SimSun" w:hAnsi="SimSun" w:eastAsia="SimSun" w:cs="SimSun"/>
          <w:sz w:val="17"/>
          <w:szCs w:val="17"/>
          <w:color w:val="333333"/>
          <w:spacing w:val="34"/>
        </w:rPr>
        <w:t> </w:t>
      </w:r>
      <w:r>
        <w:rPr>
          <w:rFonts w:ascii="SimSun" w:hAnsi="SimSun" w:eastAsia="SimSun" w:cs="SimSun"/>
          <w:sz w:val="17"/>
          <w:szCs w:val="17"/>
          <w:color w:val="333333"/>
          <w:spacing w:val="2"/>
        </w:rPr>
        <w:t>事中事后监管措施，如何通过专项整治来提升会计师事务所审计质量、引导会计师事务所质量优先发展，如何通过优化服务来促进</w:t>
      </w:r>
      <w:r>
        <w:rPr>
          <w:rFonts w:ascii="SimSun" w:hAnsi="SimSun" w:eastAsia="SimSun" w:cs="SimSun"/>
          <w:sz w:val="17"/>
          <w:szCs w:val="17"/>
          <w:color w:val="333333"/>
          <w:spacing w:val="34"/>
        </w:rPr>
        <w:t> </w:t>
      </w:r>
      <w:r>
        <w:rPr>
          <w:rFonts w:ascii="SimSun" w:hAnsi="SimSun" w:eastAsia="SimSun" w:cs="SimSun"/>
          <w:sz w:val="17"/>
          <w:szCs w:val="17"/>
          <w:color w:val="333333"/>
          <w:spacing w:val="2"/>
        </w:rPr>
        <w:t>行业发展，依然是摆在我们面前的重大课题。四是相较于高质量发展要求，会计人才素质仍需提高。比如，具有战略思维、创新能</w:t>
      </w:r>
      <w:r>
        <w:rPr>
          <w:rFonts w:ascii="SimSun" w:hAnsi="SimSun" w:eastAsia="SimSun" w:cs="SimSun"/>
          <w:sz w:val="17"/>
          <w:szCs w:val="17"/>
          <w:color w:val="333333"/>
          <w:spacing w:val="34"/>
        </w:rPr>
        <w:t> </w:t>
      </w:r>
      <w:r>
        <w:rPr>
          <w:rFonts w:ascii="SimSun" w:hAnsi="SimSun" w:eastAsia="SimSun" w:cs="SimSun"/>
          <w:sz w:val="17"/>
          <w:szCs w:val="17"/>
          <w:color w:val="333333"/>
          <w:spacing w:val="2"/>
        </w:rPr>
        <w:t>力、国际视野的高端会计人才仍然缺乏，中西部地区会计人才发展水平相对滞后，基层行政事业单位会计力量相对薄弱。这些问题</w:t>
      </w:r>
      <w:r>
        <w:rPr>
          <w:rFonts w:ascii="SimSun" w:hAnsi="SimSun" w:eastAsia="SimSun" w:cs="SimSun"/>
          <w:sz w:val="17"/>
          <w:szCs w:val="17"/>
          <w:color w:val="333333"/>
          <w:spacing w:val="34"/>
        </w:rPr>
        <w:t> </w:t>
      </w:r>
      <w:r>
        <w:rPr>
          <w:rFonts w:ascii="SimSun" w:hAnsi="SimSun" w:eastAsia="SimSun" w:cs="SimSun"/>
          <w:sz w:val="17"/>
          <w:szCs w:val="17"/>
          <w:color w:val="333333"/>
          <w:spacing w:val="1"/>
        </w:rPr>
        <w:t>需要在“十四五”时期通过制度创新、体制优化、机制变革切实加以解决。</w:t>
      </w:r>
    </w:p>
    <w:p>
      <w:pPr>
        <w:ind w:firstLine="1394"/>
        <w:spacing w:before="172" w:line="187" w:lineRule="auto"/>
        <w:rPr>
          <w:rFonts w:ascii="SimSun" w:hAnsi="SimSun" w:eastAsia="SimSun" w:cs="SimSun"/>
          <w:sz w:val="17"/>
          <w:szCs w:val="17"/>
        </w:rPr>
      </w:pPr>
      <w:r>
        <w:rPr>
          <w:rFonts w:ascii="SimSun" w:hAnsi="SimSun" w:eastAsia="SimSun" w:cs="SimSun"/>
          <w:sz w:val="17"/>
          <w:szCs w:val="17"/>
          <w:color w:val="333333"/>
          <w:spacing w:val="-1"/>
        </w:rPr>
        <w:t>（二）编制《规划纲要》意义重大。</w:t>
      </w:r>
    </w:p>
    <w:p>
      <w:pPr>
        <w:ind w:left="1044" w:right="1016" w:firstLine="346"/>
        <w:spacing w:before="302" w:line="327" w:lineRule="auto"/>
        <w:rPr>
          <w:rFonts w:ascii="SimSun" w:hAnsi="SimSun" w:eastAsia="SimSun" w:cs="SimSun"/>
          <w:sz w:val="17"/>
          <w:szCs w:val="17"/>
        </w:rPr>
      </w:pPr>
      <w:r>
        <w:rPr>
          <w:rFonts w:ascii="SimSun" w:hAnsi="SimSun" w:eastAsia="SimSun" w:cs="SimSun"/>
          <w:sz w:val="17"/>
          <w:szCs w:val="17"/>
          <w:color w:val="333333"/>
          <w:spacing w:val="1"/>
        </w:rPr>
        <w:t>用五年规划来引领会计改革与发展，是推动全行业做优做强、又好又快发展的有效办法。</w:t>
      </w:r>
      <w:r>
        <w:rPr>
          <w:rFonts w:ascii="SimSun" w:hAnsi="SimSun" w:eastAsia="SimSun" w:cs="SimSun"/>
          <w:sz w:val="17"/>
          <w:szCs w:val="17"/>
          <w:color w:val="333333"/>
          <w:spacing w:val="-1"/>
        </w:rPr>
        <w:t> </w:t>
      </w:r>
      <w:r>
        <w:rPr>
          <w:rFonts w:ascii="SimSun" w:hAnsi="SimSun" w:eastAsia="SimSun" w:cs="SimSun"/>
          <w:sz w:val="17"/>
          <w:szCs w:val="17"/>
          <w:color w:val="333333"/>
          <w:spacing w:val="1"/>
        </w:rPr>
        <w:t>自2011年起，我们先后编制执行了会</w:t>
      </w:r>
      <w:r>
        <w:rPr>
          <w:rFonts w:ascii="SimSun" w:hAnsi="SimSun" w:eastAsia="SimSun" w:cs="SimSun"/>
          <w:sz w:val="17"/>
          <w:szCs w:val="17"/>
          <w:color w:val="333333"/>
        </w:rPr>
        <w:t> </w:t>
      </w:r>
      <w:r>
        <w:rPr>
          <w:rFonts w:ascii="SimSun" w:hAnsi="SimSun" w:eastAsia="SimSun" w:cs="SimSun"/>
          <w:sz w:val="17"/>
          <w:szCs w:val="17"/>
          <w:color w:val="333333"/>
          <w:spacing w:val="2"/>
        </w:rPr>
        <w:t>计改革与发展“十二五”和“十三五”两个五年规划。这两个五年规划在理清会计工作发展脉络、顺应时代进行创新变革、服务经</w:t>
      </w:r>
    </w:p>
    <w:p>
      <w:pPr>
        <w:ind w:firstLine="539"/>
        <w:spacing w:before="31" w:line="218" w:lineRule="exact"/>
        <w:rPr>
          <w:rFonts w:ascii="Arial" w:hAnsi="Arial" w:eastAsia="Arial" w:cs="Arial"/>
          <w:sz w:val="16"/>
          <w:szCs w:val="16"/>
        </w:rPr>
      </w:pPr>
      <w:r>
        <w:rPr>
          <w:rFonts w:ascii="Arial" w:hAnsi="Arial" w:eastAsia="Arial" w:cs="Arial"/>
          <w:sz w:val="16"/>
          <w:szCs w:val="16"/>
          <w:spacing w:val="-2"/>
        </w:rPr>
        <w:t>kjs.mof.gov.cn/zhengcejiedu/202112/t20211209_3773413.htm</w:t>
      </w:r>
      <w:r>
        <w:rPr>
          <w:rFonts w:ascii="Arial" w:hAnsi="Arial" w:eastAsia="Arial" w:cs="Arial"/>
          <w:sz w:val="16"/>
          <w:szCs w:val="16"/>
          <w:w w:val="101"/>
        </w:rPr>
        <w:t>                                                                                                                                            </w:t>
      </w:r>
      <w:r>
        <w:rPr>
          <w:rFonts w:ascii="Arial" w:hAnsi="Arial" w:eastAsia="Arial" w:cs="Arial"/>
          <w:sz w:val="16"/>
          <w:szCs w:val="16"/>
          <w:spacing w:val="-2"/>
        </w:rPr>
        <w:t>1/5</w:t>
      </w:r>
    </w:p>
    <w:p>
      <w:pPr>
        <w:sectPr>
          <w:type w:val="continuous"/>
          <w:pgSz w:w="11900" w:h="16839"/>
          <w:pgMar w:top="0" w:right="0" w:bottom="0" w:left="0" w:header="0" w:footer="0" w:gutter="0"/>
          <w:cols w:equalWidth="0" w:num="1">
            <w:col w:w="11900" w:space="0"/>
          </w:cols>
        </w:sectPr>
        <w:rPr/>
      </w:pPr>
    </w:p>
    <w:p>
      <w:pPr>
        <w:ind w:firstLine="533"/>
        <w:spacing w:before="293" w:line="191" w:lineRule="auto"/>
        <w:rPr>
          <w:rFonts w:ascii="Microsoft YaHei" w:hAnsi="Microsoft YaHei" w:eastAsia="Microsoft YaHei" w:cs="Microsoft YaHei"/>
          <w:sz w:val="16"/>
          <w:szCs w:val="16"/>
        </w:rPr>
      </w:pPr>
      <w:r>
        <w:rPr>
          <w:rFonts w:ascii="Arial" w:hAnsi="Arial" w:eastAsia="Arial" w:cs="Arial"/>
          <w:sz w:val="16"/>
          <w:szCs w:val="16"/>
          <w:spacing w:val="-2"/>
          <w:position w:val="1"/>
        </w:rPr>
        <w:t>2022/4/27</w:t>
      </w:r>
      <w:r>
        <w:rPr>
          <w:rFonts w:ascii="Arial" w:hAnsi="Arial" w:eastAsia="Arial" w:cs="Arial"/>
          <w:sz w:val="16"/>
          <w:szCs w:val="16"/>
          <w:spacing w:val="1"/>
          <w:position w:val="1"/>
        </w:rPr>
        <w:t>                             </w:t>
      </w:r>
      <w:r>
        <w:rPr>
          <w:rFonts w:ascii="Microsoft YaHei" w:hAnsi="Microsoft YaHei" w:eastAsia="Microsoft YaHei" w:cs="Microsoft YaHei"/>
          <w:sz w:val="16"/>
          <w:szCs w:val="16"/>
          <w:spacing w:val="-2"/>
        </w:rPr>
        <w:t>推动变革融合</w:t>
      </w:r>
      <w:r>
        <w:rPr>
          <w:rFonts w:ascii="Microsoft YaHei" w:hAnsi="Microsoft YaHei" w:eastAsia="Microsoft YaHei" w:cs="Microsoft YaHei"/>
          <w:sz w:val="16"/>
          <w:szCs w:val="16"/>
          <w:spacing w:val="8"/>
          <w:w w:val="101"/>
        </w:rPr>
        <w:t>   </w:t>
      </w:r>
      <w:r>
        <w:rPr>
          <w:rFonts w:ascii="Microsoft YaHei" w:hAnsi="Microsoft YaHei" w:eastAsia="Microsoft YaHei" w:cs="Microsoft YaHei"/>
          <w:sz w:val="16"/>
          <w:szCs w:val="16"/>
          <w:spacing w:val="-2"/>
        </w:rPr>
        <w:t>实现提质增效</w:t>
      </w:r>
      <w:r>
        <w:rPr>
          <w:rFonts w:ascii="Microsoft YaHei" w:hAnsi="Microsoft YaHei" w:eastAsia="Microsoft YaHei" w:cs="Microsoft YaHei"/>
          <w:sz w:val="16"/>
          <w:szCs w:val="16"/>
        </w:rPr>
        <w:t> </w:t>
      </w:r>
      <w:r>
        <w:rPr>
          <w:rFonts w:ascii="Microsoft YaHei" w:hAnsi="Microsoft YaHei" w:eastAsia="Microsoft YaHei" w:cs="Microsoft YaHei"/>
          <w:sz w:val="16"/>
          <w:szCs w:val="16"/>
          <w:spacing w:val="-2"/>
        </w:rPr>
        <w:t>合力推动会计事业再上新台阶</w:t>
      </w:r>
      <w:r>
        <w:rPr>
          <w:rFonts w:ascii="Arial" w:hAnsi="Arial" w:eastAsia="Arial" w:cs="Arial"/>
          <w:sz w:val="16"/>
          <w:szCs w:val="16"/>
          <w:spacing w:val="-2"/>
        </w:rPr>
        <w:t>——</w:t>
      </w:r>
      <w:r>
        <w:rPr>
          <w:rFonts w:ascii="Arial" w:hAnsi="Arial" w:eastAsia="Arial" w:cs="Arial"/>
          <w:sz w:val="16"/>
          <w:szCs w:val="16"/>
          <w:spacing w:val="34"/>
        </w:rPr>
        <w:t> </w:t>
      </w:r>
      <w:r>
        <w:rPr>
          <w:rFonts w:ascii="Microsoft YaHei" w:hAnsi="Microsoft YaHei" w:eastAsia="Microsoft YaHei" w:cs="Microsoft YaHei"/>
          <w:sz w:val="16"/>
          <w:szCs w:val="16"/>
          <w:spacing w:val="-2"/>
        </w:rPr>
        <w:t>《会计改革与发展</w:t>
      </w:r>
      <w:r>
        <w:rPr>
          <w:rFonts w:ascii="Arial" w:hAnsi="Arial" w:eastAsia="Arial" w:cs="Arial"/>
          <w:sz w:val="16"/>
          <w:szCs w:val="16"/>
          <w:spacing w:val="-2"/>
        </w:rPr>
        <w:t>“</w:t>
      </w:r>
      <w:r>
        <w:rPr>
          <w:rFonts w:ascii="Microsoft YaHei" w:hAnsi="Microsoft YaHei" w:eastAsia="Microsoft YaHei" w:cs="Microsoft YaHei"/>
          <w:sz w:val="16"/>
          <w:szCs w:val="16"/>
          <w:spacing w:val="-2"/>
        </w:rPr>
        <w:t>十四五</w:t>
      </w:r>
      <w:r>
        <w:rPr>
          <w:rFonts w:ascii="Arial" w:hAnsi="Arial" w:eastAsia="Arial" w:cs="Arial"/>
          <w:sz w:val="16"/>
          <w:szCs w:val="16"/>
          <w:spacing w:val="-2"/>
        </w:rPr>
        <w:t>”</w:t>
      </w:r>
      <w:r>
        <w:rPr>
          <w:rFonts w:ascii="Microsoft YaHei" w:hAnsi="Microsoft YaHei" w:eastAsia="Microsoft YaHei" w:cs="Microsoft YaHei"/>
          <w:sz w:val="16"/>
          <w:szCs w:val="16"/>
          <w:spacing w:val="-2"/>
        </w:rPr>
        <w:t>规划纲要》系列解读之一</w:t>
      </w:r>
    </w:p>
    <w:p>
      <w:pPr>
        <w:ind w:left="1051" w:right="1016" w:hanging="7"/>
        <w:spacing w:before="135" w:line="327" w:lineRule="auto"/>
        <w:rPr>
          <w:rFonts w:ascii="SimSun" w:hAnsi="SimSun" w:eastAsia="SimSun" w:cs="SimSun"/>
          <w:sz w:val="17"/>
          <w:szCs w:val="17"/>
        </w:rPr>
      </w:pPr>
      <w:r>
        <w:rPr>
          <w:rFonts w:ascii="SimSun" w:hAnsi="SimSun" w:eastAsia="SimSun" w:cs="SimSun"/>
          <w:sz w:val="17"/>
          <w:szCs w:val="17"/>
          <w:color w:val="333333"/>
          <w:spacing w:val="3"/>
        </w:rPr>
        <w:t>济高质量发展等方面，均发挥了积极作用。</w:t>
      </w:r>
      <w:r>
        <w:rPr>
          <w:rFonts w:ascii="SimSun" w:hAnsi="SimSun" w:eastAsia="SimSun" w:cs="SimSun"/>
          <w:sz w:val="17"/>
          <w:szCs w:val="17"/>
          <w:color w:val="333333"/>
          <w:spacing w:val="-24"/>
        </w:rPr>
        <w:t> </w:t>
      </w:r>
      <w:r>
        <w:rPr>
          <w:rFonts w:ascii="SimSun" w:hAnsi="SimSun" w:eastAsia="SimSun" w:cs="SimSun"/>
          <w:sz w:val="17"/>
          <w:szCs w:val="17"/>
          <w:color w:val="333333"/>
          <w:spacing w:val="3"/>
        </w:rPr>
        <w:t>“十四五”时期,我国将开启向第二个百年奋斗目标进军的新征程，在这一特定的关键</w:t>
      </w:r>
      <w:r>
        <w:rPr>
          <w:rFonts w:ascii="SimSun" w:hAnsi="SimSun" w:eastAsia="SimSun" w:cs="SimSun"/>
          <w:sz w:val="17"/>
          <w:szCs w:val="17"/>
          <w:color w:val="333333"/>
          <w:w w:val="101"/>
        </w:rPr>
        <w:t> </w:t>
      </w:r>
      <w:r>
        <w:rPr>
          <w:rFonts w:ascii="SimSun" w:hAnsi="SimSun" w:eastAsia="SimSun" w:cs="SimSun"/>
          <w:sz w:val="17"/>
          <w:szCs w:val="17"/>
          <w:color w:val="333333"/>
          <w:spacing w:val="1"/>
        </w:rPr>
        <w:t>时期，编制好《规划纲要》，是科学指导未来五年会计改革与发展的客观需要，也是推动行业持续健康发展的必由之路。</w:t>
      </w:r>
    </w:p>
    <w:p>
      <w:pPr>
        <w:ind w:firstLine="1402"/>
        <w:spacing w:before="171" w:line="187" w:lineRule="auto"/>
        <w:rPr>
          <w:rFonts w:ascii="SimSun" w:hAnsi="SimSun" w:eastAsia="SimSun" w:cs="SimSun"/>
          <w:sz w:val="17"/>
          <w:szCs w:val="17"/>
        </w:rPr>
      </w:pPr>
      <w:r>
        <w:rPr>
          <w:rFonts w:ascii="SimSun" w:hAnsi="SimSun" w:eastAsia="SimSun" w:cs="SimSun"/>
          <w:sz w:val="17"/>
          <w:szCs w:val="17"/>
          <w:color w:val="333333"/>
        </w:rPr>
        <w:t>1.编制《规划纲要》</w:t>
      </w:r>
      <w:r>
        <w:rPr>
          <w:rFonts w:ascii="SimSun" w:hAnsi="SimSun" w:eastAsia="SimSun" w:cs="SimSun"/>
          <w:sz w:val="17"/>
          <w:szCs w:val="17"/>
          <w:color w:val="333333"/>
          <w:spacing w:val="45"/>
        </w:rPr>
        <w:t> </w:t>
      </w:r>
      <w:r>
        <w:rPr>
          <w:rFonts w:ascii="SimSun" w:hAnsi="SimSun" w:eastAsia="SimSun" w:cs="SimSun"/>
          <w:sz w:val="17"/>
          <w:szCs w:val="17"/>
          <w:color w:val="333333"/>
        </w:rPr>
        <w:t>是立足新发展阶段、贯彻新发展理念、构建新发展格局的重要实践。习近平总书记在党的十九大报告中指</w:t>
      </w:r>
    </w:p>
    <w:p>
      <w:pPr>
        <w:ind w:left="1043" w:right="1016" w:firstLine="15"/>
        <w:spacing w:before="130" w:line="327" w:lineRule="auto"/>
        <w:rPr>
          <w:rFonts w:ascii="SimSun" w:hAnsi="SimSun" w:eastAsia="SimSun" w:cs="SimSun"/>
          <w:sz w:val="17"/>
          <w:szCs w:val="17"/>
        </w:rPr>
      </w:pPr>
      <w:r>
        <w:rPr>
          <w:rFonts w:ascii="SimSun" w:hAnsi="SimSun" w:eastAsia="SimSun" w:cs="SimSun"/>
          <w:sz w:val="17"/>
          <w:szCs w:val="17"/>
          <w:color w:val="333333"/>
          <w:spacing w:val="1"/>
        </w:rPr>
        <w:t>出，要“坚持新发展理念”</w:t>
      </w:r>
      <w:r>
        <w:rPr>
          <w:rFonts w:ascii="SimSun" w:hAnsi="SimSun" w:eastAsia="SimSun" w:cs="SimSun"/>
          <w:sz w:val="17"/>
          <w:szCs w:val="17"/>
          <w:color w:val="333333"/>
          <w:spacing w:val="-9"/>
        </w:rPr>
        <w:t> </w:t>
      </w:r>
      <w:r>
        <w:rPr>
          <w:rFonts w:ascii="SimSun" w:hAnsi="SimSun" w:eastAsia="SimSun" w:cs="SimSun"/>
          <w:sz w:val="17"/>
          <w:szCs w:val="17"/>
          <w:color w:val="333333"/>
          <w:spacing w:val="1"/>
        </w:rPr>
        <w:t>，并将其作为新时代坚持和发展中国特色社会主义的基本方略之一加以强调。党的十九大以来，党中央</w:t>
      </w:r>
      <w:r>
        <w:rPr>
          <w:rFonts w:ascii="SimSun" w:hAnsi="SimSun" w:eastAsia="SimSun" w:cs="SimSun"/>
          <w:sz w:val="17"/>
          <w:szCs w:val="17"/>
          <w:color w:val="333333"/>
          <w:w w:val="101"/>
        </w:rPr>
        <w:t> </w:t>
      </w:r>
      <w:r>
        <w:rPr>
          <w:rFonts w:ascii="SimSun" w:hAnsi="SimSun" w:eastAsia="SimSun" w:cs="SimSun"/>
          <w:sz w:val="17"/>
          <w:szCs w:val="17"/>
          <w:color w:val="333333"/>
          <w:spacing w:val="2"/>
        </w:rPr>
        <w:t>陆续召开十九届二中、三中、四中、五中、六中全会，围绕贯彻落实新发展理念，加强顶层设计，从国家法治建设、党和国家机构</w:t>
      </w:r>
      <w:r>
        <w:rPr>
          <w:rFonts w:ascii="SimSun" w:hAnsi="SimSun" w:eastAsia="SimSun" w:cs="SimSun"/>
          <w:sz w:val="17"/>
          <w:szCs w:val="17"/>
          <w:color w:val="333333"/>
          <w:spacing w:val="35"/>
        </w:rPr>
        <w:t> </w:t>
      </w:r>
      <w:r>
        <w:rPr>
          <w:rFonts w:ascii="SimSun" w:hAnsi="SimSun" w:eastAsia="SimSun" w:cs="SimSun"/>
          <w:sz w:val="17"/>
          <w:szCs w:val="17"/>
          <w:color w:val="333333"/>
          <w:spacing w:val="2"/>
        </w:rPr>
        <w:t>建设、国家治理体系和治理能力现代化建设、五年发展规划和中长期远景目标建设等方面作出具体部署，需要我们贯彻落实到具体</w:t>
      </w:r>
      <w:r>
        <w:rPr>
          <w:rFonts w:ascii="SimSun" w:hAnsi="SimSun" w:eastAsia="SimSun" w:cs="SimSun"/>
          <w:sz w:val="17"/>
          <w:szCs w:val="17"/>
          <w:color w:val="333333"/>
          <w:spacing w:val="35"/>
        </w:rPr>
        <w:t> </w:t>
      </w:r>
      <w:r>
        <w:rPr>
          <w:rFonts w:ascii="SimSun" w:hAnsi="SimSun" w:eastAsia="SimSun" w:cs="SimSun"/>
          <w:sz w:val="17"/>
          <w:szCs w:val="17"/>
          <w:color w:val="333333"/>
          <w:spacing w:val="2"/>
        </w:rPr>
        <w:t>工作中、行动中。特别是党的十九届五中全会审议通过的《中共中央关于制定国民经济和社会发展第十四个五年规划和二○三五年</w:t>
      </w:r>
      <w:r>
        <w:rPr>
          <w:rFonts w:ascii="SimSun" w:hAnsi="SimSun" w:eastAsia="SimSun" w:cs="SimSun"/>
          <w:sz w:val="17"/>
          <w:szCs w:val="17"/>
          <w:color w:val="333333"/>
          <w:spacing w:val="35"/>
        </w:rPr>
        <w:t> </w:t>
      </w:r>
      <w:r>
        <w:rPr>
          <w:rFonts w:ascii="SimSun" w:hAnsi="SimSun" w:eastAsia="SimSun" w:cs="SimSun"/>
          <w:sz w:val="17"/>
          <w:szCs w:val="17"/>
          <w:color w:val="333333"/>
        </w:rPr>
        <w:t>远景目标的建议》</w:t>
      </w:r>
      <w:r>
        <w:rPr>
          <w:rFonts w:ascii="SimSun" w:hAnsi="SimSun" w:eastAsia="SimSun" w:cs="SimSun"/>
          <w:sz w:val="17"/>
          <w:szCs w:val="17"/>
          <w:color w:val="333333"/>
          <w:spacing w:val="64"/>
        </w:rPr>
        <w:t> </w:t>
      </w:r>
      <w:r>
        <w:rPr>
          <w:rFonts w:ascii="SimSun" w:hAnsi="SimSun" w:eastAsia="SimSun" w:cs="SimSun"/>
          <w:sz w:val="17"/>
          <w:szCs w:val="17"/>
          <w:color w:val="333333"/>
        </w:rPr>
        <w:t>，清晰展望了到2035年基本实现社会主义现代化的远景目标，对“十四五”时期我国经济社会发展作出了系统谋</w:t>
      </w:r>
      <w:r>
        <w:rPr>
          <w:rFonts w:ascii="SimSun" w:hAnsi="SimSun" w:eastAsia="SimSun" w:cs="SimSun"/>
          <w:sz w:val="17"/>
          <w:szCs w:val="17"/>
          <w:color w:val="333333"/>
        </w:rPr>
        <w:t> </w:t>
      </w:r>
      <w:r>
        <w:rPr>
          <w:rFonts w:ascii="SimSun" w:hAnsi="SimSun" w:eastAsia="SimSun" w:cs="SimSun"/>
          <w:sz w:val="17"/>
          <w:szCs w:val="17"/>
          <w:color w:val="333333"/>
          <w:spacing w:val="2"/>
        </w:rPr>
        <w:t>划和战略部署，为我们抓住用好重要战略机遇期、战胜前进道路上各种风险挑战、取得新的伟大胜利提供了重要指引。会计工作是</w:t>
      </w:r>
      <w:r>
        <w:rPr>
          <w:rFonts w:ascii="SimSun" w:hAnsi="SimSun" w:eastAsia="SimSun" w:cs="SimSun"/>
          <w:sz w:val="17"/>
          <w:szCs w:val="17"/>
          <w:color w:val="333333"/>
          <w:spacing w:val="35"/>
        </w:rPr>
        <w:t> </w:t>
      </w:r>
      <w:r>
        <w:rPr>
          <w:rFonts w:ascii="SimSun" w:hAnsi="SimSun" w:eastAsia="SimSun" w:cs="SimSun"/>
          <w:sz w:val="17"/>
          <w:szCs w:val="17"/>
          <w:color w:val="333333"/>
          <w:spacing w:val="2"/>
        </w:rPr>
        <w:t>宏观经济管理和市场资源配置的基础性工作，必须主动融入国家改革发展大局，深入贯彻落实新发展理念和新发展格局战略构想，</w:t>
      </w:r>
      <w:r>
        <w:rPr>
          <w:rFonts w:ascii="SimSun" w:hAnsi="SimSun" w:eastAsia="SimSun" w:cs="SimSun"/>
          <w:sz w:val="17"/>
          <w:szCs w:val="17"/>
          <w:color w:val="333333"/>
          <w:spacing w:val="35"/>
        </w:rPr>
        <w:t> </w:t>
      </w:r>
      <w:r>
        <w:rPr>
          <w:rFonts w:ascii="SimSun" w:hAnsi="SimSun" w:eastAsia="SimSun" w:cs="SimSun"/>
          <w:sz w:val="17"/>
          <w:szCs w:val="17"/>
          <w:color w:val="333333"/>
        </w:rPr>
        <w:t>牢牢把握新发展阶段的新机遇、新挑战。编制好《规划纲要》</w:t>
      </w:r>
      <w:r>
        <w:rPr>
          <w:rFonts w:ascii="SimSun" w:hAnsi="SimSun" w:eastAsia="SimSun" w:cs="SimSun"/>
          <w:sz w:val="17"/>
          <w:szCs w:val="17"/>
          <w:color w:val="333333"/>
          <w:spacing w:val="64"/>
        </w:rPr>
        <w:t> </w:t>
      </w:r>
      <w:r>
        <w:rPr>
          <w:rFonts w:ascii="SimSun" w:hAnsi="SimSun" w:eastAsia="SimSun" w:cs="SimSun"/>
          <w:sz w:val="17"/>
          <w:szCs w:val="17"/>
          <w:color w:val="333333"/>
        </w:rPr>
        <w:t>，有利于科学谋划好未来五年的会计事业发展，推动行业取得新的发</w:t>
      </w:r>
      <w:r>
        <w:rPr>
          <w:rFonts w:ascii="SimSun" w:hAnsi="SimSun" w:eastAsia="SimSun" w:cs="SimSun"/>
          <w:sz w:val="17"/>
          <w:szCs w:val="17"/>
          <w:color w:val="333333"/>
        </w:rPr>
        <w:t> </w:t>
      </w:r>
      <w:r>
        <w:rPr>
          <w:rFonts w:ascii="SimSun" w:hAnsi="SimSun" w:eastAsia="SimSun" w:cs="SimSun"/>
          <w:sz w:val="17"/>
          <w:szCs w:val="17"/>
          <w:color w:val="333333"/>
          <w:spacing w:val="-7"/>
        </w:rPr>
        <w:t>展。</w:t>
      </w:r>
    </w:p>
    <w:p>
      <w:pPr>
        <w:ind w:left="1043" w:right="1016" w:firstLine="348"/>
        <w:spacing w:before="174" w:line="327" w:lineRule="auto"/>
        <w:rPr>
          <w:rFonts w:ascii="SimSun" w:hAnsi="SimSun" w:eastAsia="SimSun" w:cs="SimSun"/>
          <w:sz w:val="17"/>
          <w:szCs w:val="17"/>
        </w:rPr>
      </w:pPr>
      <w:r>
        <w:rPr>
          <w:rFonts w:ascii="SimSun" w:hAnsi="SimSun" w:eastAsia="SimSun" w:cs="SimSun"/>
          <w:sz w:val="17"/>
          <w:szCs w:val="17"/>
          <w:color w:val="333333"/>
        </w:rPr>
        <w:t>2.编制《规划纲要》</w:t>
      </w:r>
      <w:r>
        <w:rPr>
          <w:rFonts w:ascii="SimSun" w:hAnsi="SimSun" w:eastAsia="SimSun" w:cs="SimSun"/>
          <w:sz w:val="17"/>
          <w:szCs w:val="17"/>
          <w:color w:val="333333"/>
          <w:spacing w:val="56"/>
        </w:rPr>
        <w:t> </w:t>
      </w:r>
      <w:r>
        <w:rPr>
          <w:rFonts w:ascii="SimSun" w:hAnsi="SimSun" w:eastAsia="SimSun" w:cs="SimSun"/>
          <w:sz w:val="17"/>
          <w:szCs w:val="17"/>
          <w:color w:val="333333"/>
        </w:rPr>
        <w:t>是会计服务财政中心工作、建立更加密切内在联系的重要举措。包括会计信息在内的财会信息是经济发展</w:t>
      </w:r>
      <w:r>
        <w:rPr>
          <w:rFonts w:ascii="SimSun" w:hAnsi="SimSun" w:eastAsia="SimSun" w:cs="SimSun"/>
          <w:sz w:val="17"/>
          <w:szCs w:val="17"/>
          <w:color w:val="333333"/>
        </w:rPr>
        <w:t> </w:t>
      </w:r>
      <w:r>
        <w:rPr>
          <w:rFonts w:ascii="SimSun" w:hAnsi="SimSun" w:eastAsia="SimSun" w:cs="SimSun"/>
          <w:sz w:val="17"/>
          <w:szCs w:val="17"/>
          <w:color w:val="333333"/>
          <w:spacing w:val="1"/>
        </w:rPr>
        <w:t>的“晴雨表”</w:t>
      </w:r>
      <w:r>
        <w:rPr>
          <w:rFonts w:ascii="SimSun" w:hAnsi="SimSun" w:eastAsia="SimSun" w:cs="SimSun"/>
          <w:sz w:val="17"/>
          <w:szCs w:val="17"/>
          <w:color w:val="333333"/>
          <w:spacing w:val="-15"/>
        </w:rPr>
        <w:t> </w:t>
      </w:r>
      <w:r>
        <w:rPr>
          <w:rFonts w:ascii="SimSun" w:hAnsi="SimSun" w:eastAsia="SimSun" w:cs="SimSun"/>
          <w:sz w:val="17"/>
          <w:szCs w:val="17"/>
          <w:color w:val="333333"/>
          <w:spacing w:val="1"/>
        </w:rPr>
        <w:t>，是营商环境的“检测剂”</w:t>
      </w:r>
      <w:r>
        <w:rPr>
          <w:rFonts w:ascii="SimSun" w:hAnsi="SimSun" w:eastAsia="SimSun" w:cs="SimSun"/>
          <w:sz w:val="17"/>
          <w:szCs w:val="17"/>
          <w:color w:val="333333"/>
          <w:spacing w:val="-63"/>
        </w:rPr>
        <w:t> </w:t>
      </w:r>
      <w:r>
        <w:rPr>
          <w:rFonts w:ascii="SimSun" w:hAnsi="SimSun" w:eastAsia="SimSun" w:cs="SimSun"/>
          <w:sz w:val="17"/>
          <w:szCs w:val="17"/>
          <w:color w:val="333333"/>
          <w:spacing w:val="1"/>
        </w:rPr>
        <w:t>，是宏观经济决策的重要依据。没有高质量的会计信息支持，就难以实现高质量发展，难</w:t>
      </w:r>
      <w:r>
        <w:rPr>
          <w:rFonts w:ascii="SimSun" w:hAnsi="SimSun" w:eastAsia="SimSun" w:cs="SimSun"/>
          <w:sz w:val="17"/>
          <w:szCs w:val="17"/>
          <w:color w:val="333333"/>
        </w:rPr>
        <w:t> </w:t>
      </w:r>
      <w:r>
        <w:rPr>
          <w:rFonts w:ascii="SimSun" w:hAnsi="SimSun" w:eastAsia="SimSun" w:cs="SimSun"/>
          <w:sz w:val="17"/>
          <w:szCs w:val="17"/>
          <w:color w:val="333333"/>
          <w:spacing w:val="2"/>
        </w:rPr>
        <w:t>以营造更加宽松、公平的营商环境，难以进行更加务实、科学的宏观经济决策。财政是国家治理的基础和重要支柱，会计工作是财</w:t>
      </w:r>
      <w:r>
        <w:rPr>
          <w:rFonts w:ascii="SimSun" w:hAnsi="SimSun" w:eastAsia="SimSun" w:cs="SimSun"/>
          <w:sz w:val="17"/>
          <w:szCs w:val="17"/>
          <w:color w:val="333333"/>
          <w:spacing w:val="35"/>
        </w:rPr>
        <w:t> </w:t>
      </w:r>
      <w:r>
        <w:rPr>
          <w:rFonts w:ascii="SimSun" w:hAnsi="SimSun" w:eastAsia="SimSun" w:cs="SimSun"/>
          <w:sz w:val="17"/>
          <w:szCs w:val="17"/>
          <w:color w:val="333333"/>
        </w:rPr>
        <w:t>政工作的重要组成。</w:t>
      </w:r>
      <w:r>
        <w:rPr>
          <w:rFonts w:ascii="SimSun" w:hAnsi="SimSun" w:eastAsia="SimSun" w:cs="SimSun"/>
          <w:sz w:val="17"/>
          <w:szCs w:val="17"/>
          <w:color w:val="333333"/>
          <w:spacing w:val="-58"/>
        </w:rPr>
        <w:t> </w:t>
      </w:r>
      <w:r>
        <w:rPr>
          <w:rFonts w:ascii="SimSun" w:hAnsi="SimSun" w:eastAsia="SimSun" w:cs="SimSun"/>
          <w:sz w:val="17"/>
          <w:szCs w:val="17"/>
          <w:color w:val="333333"/>
        </w:rPr>
        <w:t>《中华人民共和国会计法》</w:t>
      </w:r>
      <w:r>
        <w:rPr>
          <w:rFonts w:ascii="SimSun" w:hAnsi="SimSun" w:eastAsia="SimSun" w:cs="SimSun"/>
          <w:sz w:val="17"/>
          <w:szCs w:val="17"/>
          <w:color w:val="333333"/>
          <w:spacing w:val="15"/>
          <w:w w:val="101"/>
        </w:rPr>
        <w:t> </w:t>
      </w:r>
      <w:r>
        <w:rPr>
          <w:rFonts w:ascii="SimSun" w:hAnsi="SimSun" w:eastAsia="SimSun" w:cs="SimSun"/>
          <w:sz w:val="17"/>
          <w:szCs w:val="17"/>
          <w:color w:val="333333"/>
        </w:rPr>
        <w:t>明确规定“国务院财政部门主管全国的会计工作”</w:t>
      </w:r>
      <w:r>
        <w:rPr>
          <w:rFonts w:ascii="SimSun" w:hAnsi="SimSun" w:eastAsia="SimSun" w:cs="SimSun"/>
          <w:sz w:val="17"/>
          <w:szCs w:val="17"/>
          <w:color w:val="333333"/>
          <w:spacing w:val="-64"/>
        </w:rPr>
        <w:t> </w:t>
      </w:r>
      <w:r>
        <w:rPr>
          <w:rFonts w:ascii="SimSun" w:hAnsi="SimSun" w:eastAsia="SimSun" w:cs="SimSun"/>
          <w:sz w:val="17"/>
          <w:szCs w:val="17"/>
          <w:color w:val="333333"/>
        </w:rPr>
        <w:t>，以法律形式确立了会计与财政</w:t>
      </w:r>
      <w:r>
        <w:rPr>
          <w:rFonts w:ascii="SimSun" w:hAnsi="SimSun" w:eastAsia="SimSun" w:cs="SimSun"/>
          <w:sz w:val="17"/>
          <w:szCs w:val="17"/>
          <w:color w:val="333333"/>
        </w:rPr>
        <w:t> </w:t>
      </w:r>
      <w:r>
        <w:rPr>
          <w:rFonts w:ascii="SimSun" w:hAnsi="SimSun" w:eastAsia="SimSun" w:cs="SimSun"/>
          <w:sz w:val="17"/>
          <w:szCs w:val="17"/>
          <w:color w:val="333333"/>
        </w:rPr>
        <w:t>的内在联系。</w:t>
      </w:r>
      <w:r>
        <w:rPr>
          <w:rFonts w:ascii="SimSun" w:hAnsi="SimSun" w:eastAsia="SimSun" w:cs="SimSun"/>
          <w:sz w:val="17"/>
          <w:szCs w:val="17"/>
          <w:color w:val="333333"/>
          <w:spacing w:val="-35"/>
        </w:rPr>
        <w:t> </w:t>
      </w:r>
      <w:r>
        <w:rPr>
          <w:rFonts w:ascii="SimSun" w:hAnsi="SimSun" w:eastAsia="SimSun" w:cs="SimSun"/>
          <w:sz w:val="17"/>
          <w:szCs w:val="17"/>
          <w:color w:val="333333"/>
        </w:rPr>
        <w:t>《财政“十四五”规划》</w:t>
      </w:r>
      <w:r>
        <w:rPr>
          <w:rFonts w:ascii="SimSun" w:hAnsi="SimSun" w:eastAsia="SimSun" w:cs="SimSun"/>
          <w:sz w:val="17"/>
          <w:szCs w:val="17"/>
          <w:color w:val="333333"/>
          <w:spacing w:val="14"/>
        </w:rPr>
        <w:t> </w:t>
      </w:r>
      <w:r>
        <w:rPr>
          <w:rFonts w:ascii="SimSun" w:hAnsi="SimSun" w:eastAsia="SimSun" w:cs="SimSun"/>
          <w:sz w:val="17"/>
          <w:szCs w:val="17"/>
          <w:color w:val="333333"/>
        </w:rPr>
        <w:t>将“推进会计改革与发展”专设一节进行谋篇布局，充分体现了财政部党组对会计工作重要</w:t>
      </w:r>
      <w:r>
        <w:rPr>
          <w:rFonts w:ascii="SimSun" w:hAnsi="SimSun" w:eastAsia="SimSun" w:cs="SimSun"/>
          <w:sz w:val="17"/>
          <w:szCs w:val="17"/>
          <w:color w:val="333333"/>
        </w:rPr>
        <w:t> </w:t>
      </w:r>
      <w:r>
        <w:rPr>
          <w:rFonts w:ascii="SimSun" w:hAnsi="SimSun" w:eastAsia="SimSun" w:cs="SimSun"/>
          <w:sz w:val="17"/>
          <w:szCs w:val="17"/>
          <w:color w:val="333333"/>
        </w:rPr>
        <w:t>性的高度认可，这就需要我们通过编制好《规划纲要》</w:t>
      </w:r>
      <w:r>
        <w:rPr>
          <w:rFonts w:ascii="SimSun" w:hAnsi="SimSun" w:eastAsia="SimSun" w:cs="SimSun"/>
          <w:sz w:val="17"/>
          <w:szCs w:val="17"/>
          <w:color w:val="333333"/>
          <w:spacing w:val="64"/>
        </w:rPr>
        <w:t> </w:t>
      </w:r>
      <w:r>
        <w:rPr>
          <w:rFonts w:ascii="SimSun" w:hAnsi="SimSun" w:eastAsia="SimSun" w:cs="SimSun"/>
          <w:sz w:val="17"/>
          <w:szCs w:val="17"/>
          <w:color w:val="333333"/>
        </w:rPr>
        <w:t>，与之呼应，主动将会计工作融入财政中心工作全局中去思考、去谋划。为</w:t>
      </w:r>
      <w:r>
        <w:rPr>
          <w:rFonts w:ascii="SimSun" w:hAnsi="SimSun" w:eastAsia="SimSun" w:cs="SimSun"/>
          <w:sz w:val="17"/>
          <w:szCs w:val="17"/>
          <w:color w:val="333333"/>
        </w:rPr>
        <w:t> </w:t>
      </w:r>
      <w:r>
        <w:rPr>
          <w:rFonts w:ascii="SimSun" w:hAnsi="SimSun" w:eastAsia="SimSun" w:cs="SimSun"/>
          <w:sz w:val="17"/>
          <w:szCs w:val="17"/>
          <w:color w:val="333333"/>
          <w:spacing w:val="-2"/>
        </w:rPr>
        <w:t>此，</w:t>
      </w:r>
      <w:r>
        <w:rPr>
          <w:rFonts w:ascii="SimSun" w:hAnsi="SimSun" w:eastAsia="SimSun" w:cs="SimSun"/>
          <w:sz w:val="17"/>
          <w:szCs w:val="17"/>
          <w:color w:val="333333"/>
          <w:spacing w:val="-27"/>
        </w:rPr>
        <w:t> </w:t>
      </w:r>
      <w:r>
        <w:rPr>
          <w:rFonts w:ascii="SimSun" w:hAnsi="SimSun" w:eastAsia="SimSun" w:cs="SimSun"/>
          <w:sz w:val="17"/>
          <w:szCs w:val="17"/>
          <w:color w:val="333333"/>
          <w:spacing w:val="-2"/>
        </w:rPr>
        <w:t>《规划纲要》</w:t>
      </w:r>
      <w:r>
        <w:rPr>
          <w:rFonts w:ascii="SimSun" w:hAnsi="SimSun" w:eastAsia="SimSun" w:cs="SimSun"/>
          <w:sz w:val="17"/>
          <w:szCs w:val="17"/>
          <w:color w:val="333333"/>
          <w:spacing w:val="19"/>
        </w:rPr>
        <w:t> </w:t>
      </w:r>
      <w:r>
        <w:rPr>
          <w:rFonts w:ascii="SimSun" w:hAnsi="SimSun" w:eastAsia="SimSun" w:cs="SimSun"/>
          <w:sz w:val="17"/>
          <w:szCs w:val="17"/>
          <w:color w:val="333333"/>
          <w:spacing w:val="-2"/>
        </w:rPr>
        <w:t>以《财政“十四五”规划》</w:t>
      </w:r>
      <w:r>
        <w:rPr>
          <w:rFonts w:ascii="SimSun" w:hAnsi="SimSun" w:eastAsia="SimSun" w:cs="SimSun"/>
          <w:sz w:val="17"/>
          <w:szCs w:val="17"/>
          <w:color w:val="333333"/>
          <w:spacing w:val="16"/>
        </w:rPr>
        <w:t> </w:t>
      </w:r>
      <w:r>
        <w:rPr>
          <w:rFonts w:ascii="SimSun" w:hAnsi="SimSun" w:eastAsia="SimSun" w:cs="SimSun"/>
          <w:sz w:val="17"/>
          <w:szCs w:val="17"/>
          <w:color w:val="333333"/>
          <w:spacing w:val="-2"/>
        </w:rPr>
        <w:t>作为对照，结合会计行业发展形势和需求，立足于当下经济社会发展和技术发展的新</w:t>
      </w:r>
      <w:r>
        <w:rPr>
          <w:rFonts w:ascii="SimSun" w:hAnsi="SimSun" w:eastAsia="SimSun" w:cs="SimSun"/>
          <w:sz w:val="17"/>
          <w:szCs w:val="17"/>
          <w:color w:val="333333"/>
        </w:rPr>
        <w:t> </w:t>
      </w:r>
      <w:r>
        <w:rPr>
          <w:rFonts w:ascii="SimSun" w:hAnsi="SimSun" w:eastAsia="SimSun" w:cs="SimSun"/>
          <w:sz w:val="17"/>
          <w:szCs w:val="17"/>
          <w:color w:val="333333"/>
          <w:spacing w:val="2"/>
        </w:rPr>
        <w:t>形势、新要求，从“切实加快会计审计数字化转型步伐”</w:t>
      </w:r>
      <w:r>
        <w:rPr>
          <w:rFonts w:ascii="SimSun" w:hAnsi="SimSun" w:eastAsia="SimSun" w:cs="SimSun"/>
          <w:sz w:val="17"/>
          <w:szCs w:val="17"/>
          <w:color w:val="333333"/>
          <w:spacing w:val="-54"/>
        </w:rPr>
        <w:t> </w:t>
      </w:r>
      <w:r>
        <w:rPr>
          <w:rFonts w:ascii="SimSun" w:hAnsi="SimSun" w:eastAsia="SimSun" w:cs="SimSun"/>
          <w:sz w:val="17"/>
          <w:szCs w:val="17"/>
          <w:color w:val="333333"/>
          <w:spacing w:val="2"/>
        </w:rPr>
        <w:t>、</w:t>
      </w:r>
      <w:r>
        <w:rPr>
          <w:rFonts w:ascii="SimSun" w:hAnsi="SimSun" w:eastAsia="SimSun" w:cs="SimSun"/>
          <w:sz w:val="17"/>
          <w:szCs w:val="17"/>
          <w:color w:val="333333"/>
          <w:spacing w:val="-81"/>
        </w:rPr>
        <w:t> </w:t>
      </w:r>
      <w:r>
        <w:rPr>
          <w:rFonts w:ascii="SimSun" w:hAnsi="SimSun" w:eastAsia="SimSun" w:cs="SimSun"/>
          <w:sz w:val="17"/>
          <w:szCs w:val="17"/>
          <w:color w:val="333333"/>
          <w:spacing w:val="2"/>
        </w:rPr>
        <w:t>“大力推动会计职能拓展”等多个方面提出具体任务措施，以更好发挥</w:t>
      </w:r>
      <w:r>
        <w:rPr>
          <w:rFonts w:ascii="SimSun" w:hAnsi="SimSun" w:eastAsia="SimSun" w:cs="SimSun"/>
          <w:sz w:val="17"/>
          <w:szCs w:val="17"/>
          <w:color w:val="333333"/>
        </w:rPr>
        <w:t> </w:t>
      </w:r>
      <w:r>
        <w:rPr>
          <w:rFonts w:ascii="SimSun" w:hAnsi="SimSun" w:eastAsia="SimSun" w:cs="SimSun"/>
          <w:sz w:val="17"/>
          <w:szCs w:val="17"/>
          <w:color w:val="333333"/>
          <w:spacing w:val="-1"/>
        </w:rPr>
        <w:t>会计工作的基础性服务功能。</w:t>
      </w:r>
    </w:p>
    <w:p>
      <w:pPr>
        <w:ind w:left="1043" w:right="1016" w:firstLine="349"/>
        <w:spacing w:before="173" w:line="327" w:lineRule="auto"/>
        <w:rPr>
          <w:rFonts w:ascii="SimSun" w:hAnsi="SimSun" w:eastAsia="SimSun" w:cs="SimSun"/>
          <w:sz w:val="17"/>
          <w:szCs w:val="17"/>
        </w:rPr>
      </w:pPr>
      <w:r>
        <w:rPr>
          <w:rFonts w:ascii="SimSun" w:hAnsi="SimSun" w:eastAsia="SimSun" w:cs="SimSun"/>
          <w:sz w:val="17"/>
          <w:szCs w:val="17"/>
          <w:color w:val="333333"/>
        </w:rPr>
        <w:t>3.编制《规划纲要》</w:t>
      </w:r>
      <w:r>
        <w:rPr>
          <w:rFonts w:ascii="SimSun" w:hAnsi="SimSun" w:eastAsia="SimSun" w:cs="SimSun"/>
          <w:sz w:val="17"/>
          <w:szCs w:val="17"/>
          <w:color w:val="333333"/>
          <w:spacing w:val="54"/>
        </w:rPr>
        <w:t> </w:t>
      </w:r>
      <w:r>
        <w:rPr>
          <w:rFonts w:ascii="SimSun" w:hAnsi="SimSun" w:eastAsia="SimSun" w:cs="SimSun"/>
          <w:sz w:val="17"/>
          <w:szCs w:val="17"/>
          <w:color w:val="333333"/>
        </w:rPr>
        <w:t>是推动全行业做优做强、又好又快发展的重要保障。经济越发展，会计越重要。随着经济社会的发展，会</w:t>
      </w:r>
      <w:r>
        <w:rPr>
          <w:rFonts w:ascii="SimSun" w:hAnsi="SimSun" w:eastAsia="SimSun" w:cs="SimSun"/>
          <w:sz w:val="17"/>
          <w:szCs w:val="17"/>
          <w:color w:val="333333"/>
        </w:rPr>
        <w:t> </w:t>
      </w:r>
      <w:r>
        <w:rPr>
          <w:rFonts w:ascii="SimSun" w:hAnsi="SimSun" w:eastAsia="SimSun" w:cs="SimSun"/>
          <w:sz w:val="17"/>
          <w:szCs w:val="17"/>
          <w:color w:val="333333"/>
          <w:spacing w:val="2"/>
        </w:rPr>
        <w:t>计工作的重要性日益得到社会认同。同时，经济社会的发展、科学技术的进步对会计工作产生了深刻影响。比如，随着新业态的不</w:t>
      </w:r>
      <w:r>
        <w:rPr>
          <w:rFonts w:ascii="SimSun" w:hAnsi="SimSun" w:eastAsia="SimSun" w:cs="SimSun"/>
          <w:sz w:val="17"/>
          <w:szCs w:val="17"/>
          <w:color w:val="333333"/>
          <w:spacing w:val="35"/>
        </w:rPr>
        <w:t> </w:t>
      </w:r>
      <w:r>
        <w:rPr>
          <w:rFonts w:ascii="SimSun" w:hAnsi="SimSun" w:eastAsia="SimSun" w:cs="SimSun"/>
          <w:sz w:val="17"/>
          <w:szCs w:val="17"/>
          <w:color w:val="333333"/>
          <w:spacing w:val="2"/>
        </w:rPr>
        <w:t>断涌现，经济活动的类型日益多元，会计处理方式日趋复杂，如何客观、全面反映经济活动实质成为未来会计工作面临的一项巨大</w:t>
      </w:r>
      <w:r>
        <w:rPr>
          <w:rFonts w:ascii="SimSun" w:hAnsi="SimSun" w:eastAsia="SimSun" w:cs="SimSun"/>
          <w:sz w:val="17"/>
          <w:szCs w:val="17"/>
          <w:color w:val="333333"/>
          <w:spacing w:val="35"/>
        </w:rPr>
        <w:t> </w:t>
      </w:r>
      <w:r>
        <w:rPr>
          <w:rFonts w:ascii="SimSun" w:hAnsi="SimSun" w:eastAsia="SimSun" w:cs="SimSun"/>
          <w:sz w:val="17"/>
          <w:szCs w:val="17"/>
          <w:color w:val="333333"/>
          <w:spacing w:val="2"/>
        </w:rPr>
        <w:t>挑战。再比如，随着新技术的发展，会计职能正在从传统的确认、计量、记录、报告向价值管理、决策支持等进行转型，特别是人</w:t>
      </w:r>
      <w:r>
        <w:rPr>
          <w:rFonts w:ascii="SimSun" w:hAnsi="SimSun" w:eastAsia="SimSun" w:cs="SimSun"/>
          <w:sz w:val="17"/>
          <w:szCs w:val="17"/>
          <w:color w:val="333333"/>
          <w:spacing w:val="35"/>
        </w:rPr>
        <w:t> </w:t>
      </w:r>
      <w:r>
        <w:rPr>
          <w:rFonts w:ascii="SimSun" w:hAnsi="SimSun" w:eastAsia="SimSun" w:cs="SimSun"/>
          <w:sz w:val="17"/>
          <w:szCs w:val="17"/>
          <w:color w:val="333333"/>
          <w:spacing w:val="2"/>
        </w:rPr>
        <w:t>工智能、电子会计凭证等新技术、新事物的出现，给会计行业带来了深刻变革。为此，认真总结“十三五”时期会计改革与发展成</w:t>
      </w:r>
      <w:r>
        <w:rPr>
          <w:rFonts w:ascii="SimSun" w:hAnsi="SimSun" w:eastAsia="SimSun" w:cs="SimSun"/>
          <w:sz w:val="17"/>
          <w:szCs w:val="17"/>
          <w:color w:val="333333"/>
          <w:spacing w:val="35"/>
        </w:rPr>
        <w:t> </w:t>
      </w:r>
      <w:r>
        <w:rPr>
          <w:rFonts w:ascii="SimSun" w:hAnsi="SimSun" w:eastAsia="SimSun" w:cs="SimSun"/>
          <w:sz w:val="17"/>
          <w:szCs w:val="17"/>
          <w:color w:val="333333"/>
          <w:spacing w:val="2"/>
        </w:rPr>
        <w:t>功经验，系统谋划好“十四五”时期会计改革与发展目标任务，事关行业整体发展和2000多万会计人员的切身利益，将为会计行业</w:t>
      </w:r>
      <w:r>
        <w:rPr>
          <w:rFonts w:ascii="SimSun" w:hAnsi="SimSun" w:eastAsia="SimSun" w:cs="SimSun"/>
          <w:sz w:val="17"/>
          <w:szCs w:val="17"/>
          <w:color w:val="333333"/>
          <w:spacing w:val="31"/>
        </w:rPr>
        <w:t> </w:t>
      </w:r>
      <w:r>
        <w:rPr>
          <w:rFonts w:ascii="SimSun" w:hAnsi="SimSun" w:eastAsia="SimSun" w:cs="SimSun"/>
          <w:sz w:val="17"/>
          <w:szCs w:val="17"/>
          <w:color w:val="333333"/>
        </w:rPr>
        <w:t>行稳致远、会计事业蓬勃发展提供重要保障。</w:t>
      </w:r>
    </w:p>
    <w:p>
      <w:pPr>
        <w:ind w:left="1047" w:right="1016" w:firstLine="331"/>
        <w:spacing w:before="173" w:line="327" w:lineRule="auto"/>
        <w:rPr>
          <w:rFonts w:ascii="SimSun" w:hAnsi="SimSun" w:eastAsia="SimSun" w:cs="SimSun"/>
          <w:sz w:val="17"/>
          <w:szCs w:val="17"/>
        </w:rPr>
      </w:pPr>
      <w:r>
        <w:rPr>
          <w:rFonts w:ascii="SimSun" w:hAnsi="SimSun" w:eastAsia="SimSun" w:cs="SimSun"/>
          <w:sz w:val="17"/>
          <w:szCs w:val="17"/>
          <w:color w:val="333333"/>
        </w:rPr>
        <w:t>“秉纲而目自张，执本而末自从”</w:t>
      </w:r>
      <w:r>
        <w:rPr>
          <w:rFonts w:ascii="SimSun" w:hAnsi="SimSun" w:eastAsia="SimSun" w:cs="SimSun"/>
          <w:sz w:val="17"/>
          <w:szCs w:val="17"/>
          <w:color w:val="333333"/>
          <w:spacing w:val="-20"/>
        </w:rPr>
        <w:t> </w:t>
      </w:r>
      <w:r>
        <w:rPr>
          <w:rFonts w:ascii="SimSun" w:hAnsi="SimSun" w:eastAsia="SimSun" w:cs="SimSun"/>
          <w:sz w:val="17"/>
          <w:szCs w:val="17"/>
          <w:color w:val="333333"/>
        </w:rPr>
        <w:t>。编制《规划纲要》</w:t>
      </w:r>
      <w:r>
        <w:rPr>
          <w:rFonts w:ascii="SimSun" w:hAnsi="SimSun" w:eastAsia="SimSun" w:cs="SimSun"/>
          <w:sz w:val="17"/>
          <w:szCs w:val="17"/>
          <w:color w:val="333333"/>
          <w:spacing w:val="4"/>
        </w:rPr>
        <w:t> </w:t>
      </w:r>
      <w:r>
        <w:rPr>
          <w:rFonts w:ascii="SimSun" w:hAnsi="SimSun" w:eastAsia="SimSun" w:cs="SimSun"/>
          <w:sz w:val="17"/>
          <w:szCs w:val="17"/>
          <w:color w:val="333333"/>
        </w:rPr>
        <w:t>意义重大，必须立足行业、着眼长远、服务全局，坚持承前启后，在守</w:t>
      </w:r>
      <w:r>
        <w:rPr>
          <w:rFonts w:ascii="SimSun" w:hAnsi="SimSun" w:eastAsia="SimSun" w:cs="SimSun"/>
          <w:sz w:val="17"/>
          <w:szCs w:val="17"/>
          <w:color w:val="333333"/>
        </w:rPr>
        <w:t> </w:t>
      </w:r>
      <w:r>
        <w:rPr>
          <w:rFonts w:ascii="SimSun" w:hAnsi="SimSun" w:eastAsia="SimSun" w:cs="SimSun"/>
          <w:sz w:val="17"/>
          <w:szCs w:val="17"/>
          <w:color w:val="333333"/>
          <w:spacing w:val="-1"/>
        </w:rPr>
        <w:t>正的基础上推动行业创新变革。</w:t>
      </w:r>
    </w:p>
    <w:p>
      <w:pPr>
        <w:ind w:firstLine="1391"/>
        <w:spacing w:before="172" w:line="187" w:lineRule="auto"/>
        <w:rPr>
          <w:rFonts w:ascii="SimSun" w:hAnsi="SimSun" w:eastAsia="SimSun" w:cs="SimSun"/>
          <w:sz w:val="17"/>
          <w:szCs w:val="17"/>
        </w:rPr>
      </w:pPr>
      <w:r>
        <w:rPr>
          <w:rFonts w:ascii="SimSun" w:hAnsi="SimSun" w:eastAsia="SimSun" w:cs="SimSun"/>
          <w:sz w:val="17"/>
          <w:szCs w:val="17"/>
          <w:color w:val="333333"/>
          <w:spacing w:val="12"/>
        </w:rPr>
        <w:t>二、科学谋划，精心描绘“十四五”时期会计事业美好蓝图</w:t>
      </w:r>
    </w:p>
    <w:p>
      <w:pPr>
        <w:ind w:firstLine="1394"/>
        <w:spacing w:before="301" w:line="187" w:lineRule="auto"/>
        <w:rPr>
          <w:rFonts w:ascii="SimSun" w:hAnsi="SimSun" w:eastAsia="SimSun" w:cs="SimSun"/>
          <w:sz w:val="17"/>
          <w:szCs w:val="17"/>
        </w:rPr>
      </w:pPr>
      <w:r>
        <w:rPr>
          <w:rFonts w:ascii="SimSun" w:hAnsi="SimSun" w:eastAsia="SimSun" w:cs="SimSun"/>
          <w:sz w:val="17"/>
          <w:szCs w:val="17"/>
          <w:color w:val="333333"/>
          <w:spacing w:val="-1"/>
        </w:rPr>
        <w:t>（一）《规划纲要》编制过程。</w:t>
      </w:r>
    </w:p>
    <w:p>
      <w:pPr>
        <w:ind w:left="1033" w:right="1016" w:firstLine="384"/>
        <w:spacing w:before="303" w:line="327" w:lineRule="auto"/>
        <w:rPr>
          <w:rFonts w:ascii="SimSun" w:hAnsi="SimSun" w:eastAsia="SimSun" w:cs="SimSun"/>
          <w:sz w:val="17"/>
          <w:szCs w:val="17"/>
        </w:rPr>
      </w:pPr>
      <w:r>
        <w:rPr>
          <w:rFonts w:ascii="SimSun" w:hAnsi="SimSun" w:eastAsia="SimSun" w:cs="SimSun"/>
          <w:sz w:val="17"/>
          <w:szCs w:val="17"/>
          <w:color w:val="333333"/>
          <w:spacing w:val="-2"/>
        </w:rPr>
        <w:t>自2019年11月以来，我们围绕《规划纲要》</w:t>
      </w:r>
      <w:r>
        <w:rPr>
          <w:rFonts w:ascii="SimSun" w:hAnsi="SimSun" w:eastAsia="SimSun" w:cs="SimSun"/>
          <w:sz w:val="17"/>
          <w:szCs w:val="17"/>
          <w:color w:val="333333"/>
          <w:spacing w:val="22"/>
        </w:rPr>
        <w:t> </w:t>
      </w:r>
      <w:r>
        <w:rPr>
          <w:rFonts w:ascii="SimSun" w:hAnsi="SimSun" w:eastAsia="SimSun" w:cs="SimSun"/>
          <w:sz w:val="17"/>
          <w:szCs w:val="17"/>
          <w:color w:val="333333"/>
          <w:spacing w:val="-2"/>
        </w:rPr>
        <w:t>的编制，分四个阶段先后开展了以下工作：</w:t>
      </w:r>
      <w:r>
        <w:rPr>
          <w:rFonts w:ascii="SimSun" w:hAnsi="SimSun" w:eastAsia="SimSun" w:cs="SimSun"/>
          <w:sz w:val="17"/>
          <w:szCs w:val="17"/>
          <w:color w:val="333333"/>
          <w:spacing w:val="44"/>
          <w:w w:val="101"/>
        </w:rPr>
        <w:t> </w:t>
      </w:r>
      <w:r>
        <w:rPr>
          <w:rFonts w:ascii="SimSun" w:hAnsi="SimSun" w:eastAsia="SimSun" w:cs="SimSun"/>
          <w:sz w:val="17"/>
          <w:szCs w:val="17"/>
          <w:color w:val="333333"/>
          <w:spacing w:val="-2"/>
        </w:rPr>
        <w:t>一是启动阶段。2019年11月，在江苏镇</w:t>
      </w:r>
      <w:r>
        <w:rPr>
          <w:rFonts w:ascii="SimSun" w:hAnsi="SimSun" w:eastAsia="SimSun" w:cs="SimSun"/>
          <w:sz w:val="17"/>
          <w:szCs w:val="17"/>
          <w:color w:val="333333"/>
        </w:rPr>
        <w:t> </w:t>
      </w:r>
      <w:r>
        <w:rPr>
          <w:rFonts w:ascii="SimSun" w:hAnsi="SimSun" w:eastAsia="SimSun" w:cs="SimSun"/>
          <w:sz w:val="17"/>
          <w:szCs w:val="17"/>
          <w:color w:val="333333"/>
          <w:spacing w:val="2"/>
        </w:rPr>
        <w:t>江召开全国会计管理工作会议，对“十三五”时期取得的成绩和存在的问题进行分析，对“十四五”时期发展思路进行展望，正式</w:t>
      </w:r>
      <w:r>
        <w:rPr>
          <w:rFonts w:ascii="SimSun" w:hAnsi="SimSun" w:eastAsia="SimSun" w:cs="SimSun"/>
          <w:sz w:val="17"/>
          <w:szCs w:val="17"/>
          <w:color w:val="333333"/>
          <w:spacing w:val="45"/>
        </w:rPr>
        <w:t> </w:t>
      </w:r>
      <w:r>
        <w:rPr>
          <w:rFonts w:ascii="SimSun" w:hAnsi="SimSun" w:eastAsia="SimSun" w:cs="SimSun"/>
          <w:sz w:val="17"/>
          <w:szCs w:val="17"/>
          <w:color w:val="333333"/>
          <w:spacing w:val="2"/>
        </w:rPr>
        <w:t>启动《规划纲要》</w:t>
      </w:r>
      <w:r>
        <w:rPr>
          <w:rFonts w:ascii="SimSun" w:hAnsi="SimSun" w:eastAsia="SimSun" w:cs="SimSun"/>
          <w:sz w:val="17"/>
          <w:szCs w:val="17"/>
          <w:color w:val="333333"/>
          <w:spacing w:val="35"/>
        </w:rPr>
        <w:t> </w:t>
      </w:r>
      <w:r>
        <w:rPr>
          <w:rFonts w:ascii="SimSun" w:hAnsi="SimSun" w:eastAsia="SimSun" w:cs="SimSun"/>
          <w:sz w:val="17"/>
          <w:szCs w:val="17"/>
          <w:color w:val="333333"/>
          <w:spacing w:val="2"/>
        </w:rPr>
        <w:t>编制工作。二是准备阶段。2020年1月至2020年12月，向各级财政部门和中央有关主管单位印发通知，组织进行</w:t>
      </w:r>
      <w:r>
        <w:rPr>
          <w:rFonts w:ascii="SimSun" w:hAnsi="SimSun" w:eastAsia="SimSun" w:cs="SimSun"/>
          <w:sz w:val="17"/>
          <w:szCs w:val="17"/>
          <w:color w:val="333333"/>
        </w:rPr>
        <w:t> </w:t>
      </w:r>
      <w:r>
        <w:rPr>
          <w:rFonts w:ascii="SimSun" w:hAnsi="SimSun" w:eastAsia="SimSun" w:cs="SimSun"/>
          <w:sz w:val="17"/>
          <w:szCs w:val="17"/>
          <w:color w:val="333333"/>
          <w:spacing w:val="4"/>
        </w:rPr>
        <w:t>“十三五”时期会计管理工作的总结评估，征集“十四五”时期会计改革与发展的意见建议，共收集意见建议300余条。同时，赴</w:t>
      </w:r>
      <w:r>
        <w:rPr>
          <w:rFonts w:ascii="SimSun" w:hAnsi="SimSun" w:eastAsia="SimSun" w:cs="SimSun"/>
          <w:sz w:val="17"/>
          <w:szCs w:val="17"/>
          <w:color w:val="333333"/>
          <w:spacing w:val="12"/>
        </w:rPr>
        <w:t> </w:t>
      </w:r>
      <w:r>
        <w:rPr>
          <w:rFonts w:ascii="SimSun" w:hAnsi="SimSun" w:eastAsia="SimSun" w:cs="SimSun"/>
          <w:sz w:val="17"/>
          <w:szCs w:val="17"/>
          <w:color w:val="333333"/>
          <w:spacing w:val="2"/>
        </w:rPr>
        <w:t>上海作专题调研，为《规划纲要》</w:t>
      </w:r>
      <w:r>
        <w:rPr>
          <w:rFonts w:ascii="SimSun" w:hAnsi="SimSun" w:eastAsia="SimSun" w:cs="SimSun"/>
          <w:sz w:val="17"/>
          <w:szCs w:val="17"/>
          <w:color w:val="333333"/>
          <w:spacing w:val="35"/>
        </w:rPr>
        <w:t> </w:t>
      </w:r>
      <w:r>
        <w:rPr>
          <w:rFonts w:ascii="SimSun" w:hAnsi="SimSun" w:eastAsia="SimSun" w:cs="SimSun"/>
          <w:sz w:val="17"/>
          <w:szCs w:val="17"/>
          <w:color w:val="333333"/>
          <w:spacing w:val="2"/>
        </w:rPr>
        <w:t>编制提供支撑材料。三是编制阶段。2020年12月至2021年3月，贯彻党的十九届五中全会精神，</w:t>
      </w:r>
      <w:r>
        <w:rPr>
          <w:rFonts w:ascii="SimSun" w:hAnsi="SimSun" w:eastAsia="SimSun" w:cs="SimSun"/>
          <w:sz w:val="17"/>
          <w:szCs w:val="17"/>
          <w:color w:val="333333"/>
        </w:rPr>
        <w:t> </w:t>
      </w:r>
      <w:r>
        <w:rPr>
          <w:rFonts w:ascii="SimSun" w:hAnsi="SimSun" w:eastAsia="SimSun" w:cs="SimSun"/>
          <w:sz w:val="17"/>
          <w:szCs w:val="17"/>
          <w:color w:val="333333"/>
          <w:spacing w:val="2"/>
        </w:rPr>
        <w:t>与国家和财政“十四五”规划对标对表，组织开展编制工作，形成《规划纲要》</w:t>
      </w:r>
      <w:r>
        <w:rPr>
          <w:rFonts w:ascii="SimSun" w:hAnsi="SimSun" w:eastAsia="SimSun" w:cs="SimSun"/>
          <w:sz w:val="17"/>
          <w:szCs w:val="17"/>
          <w:color w:val="333333"/>
          <w:spacing w:val="37"/>
        </w:rPr>
        <w:t> </w:t>
      </w:r>
      <w:r>
        <w:rPr>
          <w:rFonts w:ascii="SimSun" w:hAnsi="SimSun" w:eastAsia="SimSun" w:cs="SimSun"/>
          <w:sz w:val="17"/>
          <w:szCs w:val="17"/>
          <w:color w:val="333333"/>
          <w:spacing w:val="2"/>
        </w:rPr>
        <w:t>征求意见稿。四是完善阶段。2021年3月至2021年</w:t>
      </w:r>
      <w:r>
        <w:rPr>
          <w:rFonts w:ascii="SimSun" w:hAnsi="SimSun" w:eastAsia="SimSun" w:cs="SimSun"/>
          <w:sz w:val="17"/>
          <w:szCs w:val="17"/>
          <w:color w:val="333333"/>
        </w:rPr>
        <w:t> </w:t>
      </w:r>
      <w:r>
        <w:rPr>
          <w:rFonts w:ascii="SimSun" w:hAnsi="SimSun" w:eastAsia="SimSun" w:cs="SimSun"/>
          <w:sz w:val="17"/>
          <w:szCs w:val="17"/>
          <w:color w:val="333333"/>
          <w:spacing w:val="2"/>
        </w:rPr>
        <w:t>10月，我们先后通过公开征求意见、网络问卷调查、实地调研、分批座谈、召开专家论证会等形式，广泛征求各方意见建议，进一</w:t>
      </w:r>
      <w:r>
        <w:rPr>
          <w:rFonts w:ascii="SimSun" w:hAnsi="SimSun" w:eastAsia="SimSun" w:cs="SimSun"/>
          <w:sz w:val="17"/>
          <w:szCs w:val="17"/>
          <w:color w:val="333333"/>
          <w:spacing w:val="43"/>
        </w:rPr>
        <w:t> </w:t>
      </w:r>
      <w:r>
        <w:rPr>
          <w:rFonts w:ascii="SimSun" w:hAnsi="SimSun" w:eastAsia="SimSun" w:cs="SimSun"/>
          <w:sz w:val="17"/>
          <w:szCs w:val="17"/>
          <w:color w:val="333333"/>
        </w:rPr>
        <w:t>步修改完善《规划纲要》。</w:t>
      </w:r>
    </w:p>
    <w:p>
      <w:pPr>
        <w:ind w:left="1045" w:right="1016" w:firstLine="344"/>
        <w:spacing w:before="173" w:line="327" w:lineRule="auto"/>
        <w:rPr>
          <w:rFonts w:ascii="SimSun" w:hAnsi="SimSun" w:eastAsia="SimSun" w:cs="SimSun"/>
          <w:sz w:val="17"/>
          <w:szCs w:val="17"/>
        </w:rPr>
      </w:pPr>
      <w:r>
        <w:rPr>
          <w:rFonts w:ascii="SimSun" w:hAnsi="SimSun" w:eastAsia="SimSun" w:cs="SimSun"/>
          <w:sz w:val="17"/>
          <w:szCs w:val="17"/>
          <w:color w:val="333333"/>
        </w:rPr>
        <w:t>财政部党组对《规划纲要》</w:t>
      </w:r>
      <w:r>
        <w:rPr>
          <w:rFonts w:ascii="SimSun" w:hAnsi="SimSun" w:eastAsia="SimSun" w:cs="SimSun"/>
          <w:sz w:val="17"/>
          <w:szCs w:val="17"/>
          <w:color w:val="333333"/>
          <w:spacing w:val="57"/>
          <w:w w:val="101"/>
        </w:rPr>
        <w:t> </w:t>
      </w:r>
      <w:r>
        <w:rPr>
          <w:rFonts w:ascii="SimSun" w:hAnsi="SimSun" w:eastAsia="SimSun" w:cs="SimSun"/>
          <w:sz w:val="17"/>
          <w:szCs w:val="17"/>
          <w:color w:val="333333"/>
        </w:rPr>
        <w:t>的编制工作高度重视，财政部部长、党组书记刘昆和财政部副部长、党组成员朱忠明亲自指导，专</w:t>
      </w:r>
      <w:r>
        <w:rPr>
          <w:rFonts w:ascii="SimSun" w:hAnsi="SimSun" w:eastAsia="SimSun" w:cs="SimSun"/>
          <w:sz w:val="17"/>
          <w:szCs w:val="17"/>
          <w:color w:val="333333"/>
        </w:rPr>
        <w:t> </w:t>
      </w:r>
      <w:r>
        <w:rPr>
          <w:rFonts w:ascii="SimSun" w:hAnsi="SimSun" w:eastAsia="SimSun" w:cs="SimSun"/>
          <w:sz w:val="17"/>
          <w:szCs w:val="17"/>
          <w:color w:val="333333"/>
          <w:spacing w:val="-2"/>
        </w:rPr>
        <w:t>门就《规划纲要》</w:t>
      </w:r>
      <w:r>
        <w:rPr>
          <w:rFonts w:ascii="SimSun" w:hAnsi="SimSun" w:eastAsia="SimSun" w:cs="SimSun"/>
          <w:sz w:val="17"/>
          <w:szCs w:val="17"/>
          <w:color w:val="333333"/>
          <w:spacing w:val="46"/>
        </w:rPr>
        <w:t> </w:t>
      </w:r>
      <w:r>
        <w:rPr>
          <w:rFonts w:ascii="SimSun" w:hAnsi="SimSun" w:eastAsia="SimSun" w:cs="SimSun"/>
          <w:sz w:val="17"/>
          <w:szCs w:val="17"/>
          <w:color w:val="333333"/>
          <w:spacing w:val="-2"/>
        </w:rPr>
        <w:t>编制作出重要指示批示，对内容进行了全面审改。2021年11月18</w:t>
      </w:r>
      <w:r>
        <w:rPr>
          <w:rFonts w:ascii="SimSun" w:hAnsi="SimSun" w:eastAsia="SimSun" w:cs="SimSun"/>
          <w:sz w:val="17"/>
          <w:szCs w:val="17"/>
          <w:color w:val="333333"/>
          <w:spacing w:val="-48"/>
        </w:rPr>
        <w:t> </w:t>
      </w:r>
      <w:r>
        <w:rPr>
          <w:rFonts w:ascii="SimSun" w:hAnsi="SimSun" w:eastAsia="SimSun" w:cs="SimSun"/>
          <w:sz w:val="17"/>
          <w:szCs w:val="17"/>
          <w:color w:val="333333"/>
          <w:spacing w:val="-2"/>
        </w:rPr>
        <w:t>日，财政部党组会议审议通过了《规划纲要》</w:t>
      </w:r>
      <w:r>
        <w:rPr>
          <w:rFonts w:ascii="SimSun" w:hAnsi="SimSun" w:eastAsia="SimSun" w:cs="SimSun"/>
          <w:sz w:val="17"/>
          <w:szCs w:val="17"/>
          <w:color w:val="333333"/>
          <w:spacing w:val="16"/>
        </w:rPr>
        <w:t> </w:t>
      </w:r>
      <w:r>
        <w:rPr>
          <w:rFonts w:ascii="SimSun" w:hAnsi="SimSun" w:eastAsia="SimSun" w:cs="SimSun"/>
          <w:sz w:val="17"/>
          <w:szCs w:val="17"/>
          <w:color w:val="333333"/>
          <w:spacing w:val="-2"/>
        </w:rPr>
        <w:t>。</w:t>
      </w:r>
      <w:r>
        <w:rPr>
          <w:rFonts w:ascii="SimSun" w:hAnsi="SimSun" w:eastAsia="SimSun" w:cs="SimSun"/>
          <w:sz w:val="17"/>
          <w:szCs w:val="17"/>
          <w:color w:val="333333"/>
        </w:rPr>
        <w:t> </w:t>
      </w:r>
      <w:r>
        <w:rPr>
          <w:rFonts w:ascii="SimSun" w:hAnsi="SimSun" w:eastAsia="SimSun" w:cs="SimSun"/>
          <w:sz w:val="17"/>
          <w:szCs w:val="17"/>
          <w:color w:val="333333"/>
          <w:spacing w:val="1"/>
        </w:rPr>
        <w:t>我们在充分吸纳各方意见的基础上，于2021年11月24日正式印发《规划纲要》。</w:t>
      </w:r>
    </w:p>
    <w:p>
      <w:pPr>
        <w:ind w:firstLine="1394"/>
        <w:spacing w:before="172" w:line="187" w:lineRule="auto"/>
        <w:rPr>
          <w:rFonts w:ascii="SimSun" w:hAnsi="SimSun" w:eastAsia="SimSun" w:cs="SimSun"/>
          <w:sz w:val="17"/>
          <w:szCs w:val="17"/>
        </w:rPr>
      </w:pPr>
      <w:r>
        <w:rPr>
          <w:rFonts w:ascii="SimSun" w:hAnsi="SimSun" w:eastAsia="SimSun" w:cs="SimSun"/>
          <w:sz w:val="17"/>
          <w:szCs w:val="17"/>
          <w:color w:val="333333"/>
          <w:spacing w:val="-1"/>
        </w:rPr>
        <w:t>（二）《规划纲要》征求意见情况。</w:t>
      </w:r>
    </w:p>
    <w:p>
      <w:pPr>
        <w:ind w:left="1046" w:right="1016" w:firstLine="348"/>
        <w:spacing w:before="301" w:line="327" w:lineRule="auto"/>
        <w:rPr>
          <w:rFonts w:ascii="SimSun" w:hAnsi="SimSun" w:eastAsia="SimSun" w:cs="SimSun"/>
          <w:sz w:val="17"/>
          <w:szCs w:val="17"/>
        </w:rPr>
      </w:pPr>
      <w:r>
        <w:rPr>
          <w:rFonts w:ascii="SimSun" w:hAnsi="SimSun" w:eastAsia="SimSun" w:cs="SimSun"/>
          <w:sz w:val="17"/>
          <w:szCs w:val="17"/>
          <w:color w:val="333333"/>
          <w:spacing w:val="3"/>
        </w:rPr>
        <w:t>一是两次书面征求意见。2021年3月30</w:t>
      </w:r>
      <w:r>
        <w:rPr>
          <w:rFonts w:ascii="SimSun" w:hAnsi="SimSun" w:eastAsia="SimSun" w:cs="SimSun"/>
          <w:sz w:val="17"/>
          <w:szCs w:val="17"/>
          <w:color w:val="333333"/>
          <w:spacing w:val="-37"/>
        </w:rPr>
        <w:t> </w:t>
      </w:r>
      <w:r>
        <w:rPr>
          <w:rFonts w:ascii="SimSun" w:hAnsi="SimSun" w:eastAsia="SimSun" w:cs="SimSun"/>
          <w:sz w:val="17"/>
          <w:szCs w:val="17"/>
          <w:color w:val="333333"/>
          <w:spacing w:val="3"/>
        </w:rPr>
        <w:t>日，我们印发《财政部办公厅关于征求〈会计改革与发展“十四五”规划纲要（征求意</w:t>
      </w:r>
      <w:r>
        <w:rPr>
          <w:rFonts w:ascii="SimSun" w:hAnsi="SimSun" w:eastAsia="SimSun" w:cs="SimSun"/>
          <w:sz w:val="17"/>
          <w:szCs w:val="17"/>
          <w:color w:val="333333"/>
        </w:rPr>
        <w:t> </w:t>
      </w:r>
      <w:r>
        <w:rPr>
          <w:rFonts w:ascii="SimSun" w:hAnsi="SimSun" w:eastAsia="SimSun" w:cs="SimSun"/>
          <w:sz w:val="17"/>
          <w:szCs w:val="17"/>
          <w:color w:val="333333"/>
          <w:spacing w:val="2"/>
        </w:rPr>
        <w:t>见稿）</w:t>
      </w:r>
      <w:r>
        <w:rPr>
          <w:rFonts w:ascii="SimSun" w:hAnsi="SimSun" w:eastAsia="SimSun" w:cs="SimSun"/>
          <w:sz w:val="17"/>
          <w:szCs w:val="17"/>
          <w:color w:val="333333"/>
          <w:spacing w:val="46"/>
        </w:rPr>
        <w:t> </w:t>
      </w:r>
      <w:r>
        <w:rPr>
          <w:rFonts w:ascii="SimSun" w:hAnsi="SimSun" w:eastAsia="SimSun" w:cs="SimSun"/>
          <w:sz w:val="17"/>
          <w:szCs w:val="17"/>
          <w:color w:val="333333"/>
          <w:spacing w:val="2"/>
        </w:rPr>
        <w:t>〉意见的函》</w:t>
      </w:r>
      <w:r>
        <w:rPr>
          <w:rFonts w:ascii="SimSun" w:hAnsi="SimSun" w:eastAsia="SimSun" w:cs="SimSun"/>
          <w:sz w:val="17"/>
          <w:szCs w:val="17"/>
          <w:color w:val="333333"/>
          <w:spacing w:val="25"/>
        </w:rPr>
        <w:t> </w:t>
      </w:r>
      <w:r>
        <w:rPr>
          <w:rFonts w:ascii="SimSun" w:hAnsi="SimSun" w:eastAsia="SimSun" w:cs="SimSun"/>
          <w:sz w:val="17"/>
          <w:szCs w:val="17"/>
          <w:color w:val="333333"/>
          <w:spacing w:val="2"/>
        </w:rPr>
        <w:t>，征求了各级财政部门和中央有关主管单位的意见，并面向社会公开征求意见。2021年7月30</w:t>
      </w:r>
      <w:r>
        <w:rPr>
          <w:rFonts w:ascii="SimSun" w:hAnsi="SimSun" w:eastAsia="SimSun" w:cs="SimSun"/>
          <w:sz w:val="17"/>
          <w:szCs w:val="17"/>
          <w:color w:val="333333"/>
          <w:spacing w:val="-44"/>
        </w:rPr>
        <w:t> </w:t>
      </w:r>
      <w:r>
        <w:rPr>
          <w:rFonts w:ascii="SimSun" w:hAnsi="SimSun" w:eastAsia="SimSun" w:cs="SimSun"/>
          <w:sz w:val="17"/>
          <w:szCs w:val="17"/>
          <w:color w:val="333333"/>
          <w:spacing w:val="2"/>
        </w:rPr>
        <w:t>日，我们印发</w:t>
      </w:r>
    </w:p>
    <w:p>
      <w:pPr>
        <w:ind w:firstLine="539"/>
        <w:spacing w:before="106" w:line="218" w:lineRule="exact"/>
        <w:rPr>
          <w:rFonts w:ascii="Arial" w:hAnsi="Arial" w:eastAsia="Arial" w:cs="Arial"/>
          <w:sz w:val="16"/>
          <w:szCs w:val="16"/>
        </w:rPr>
      </w:pPr>
      <w:r>
        <w:rPr>
          <w:rFonts w:ascii="Arial" w:hAnsi="Arial" w:eastAsia="Arial" w:cs="Arial"/>
          <w:sz w:val="16"/>
          <w:szCs w:val="16"/>
          <w:spacing w:val="-1"/>
        </w:rPr>
        <w:t>kjs.mof.gov.cn/zhengcejiedu/202112/t20211209_3773413.htm</w:t>
      </w:r>
      <w:r>
        <w:rPr>
          <w:rFonts w:ascii="Arial" w:hAnsi="Arial" w:eastAsia="Arial" w:cs="Arial"/>
          <w:sz w:val="16"/>
          <w:szCs w:val="16"/>
        </w:rPr>
        <w:t>                                                                                                                                            </w:t>
      </w:r>
      <w:r>
        <w:rPr>
          <w:rFonts w:ascii="Arial" w:hAnsi="Arial" w:eastAsia="Arial" w:cs="Arial"/>
          <w:sz w:val="16"/>
          <w:szCs w:val="16"/>
          <w:spacing w:val="-1"/>
        </w:rPr>
        <w:t>2/5</w:t>
      </w:r>
    </w:p>
    <w:p>
      <w:pPr>
        <w:sectPr>
          <w:pgSz w:w="11900" w:h="16839"/>
          <w:pgMar w:top="0" w:right="0" w:bottom="0" w:left="0" w:header="0" w:footer="0" w:gutter="0"/>
        </w:sectPr>
        <w:rPr/>
      </w:pPr>
    </w:p>
    <w:p>
      <w:pPr>
        <w:ind w:firstLine="533"/>
        <w:spacing w:before="293" w:line="191" w:lineRule="auto"/>
        <w:rPr>
          <w:rFonts w:ascii="Microsoft YaHei" w:hAnsi="Microsoft YaHei" w:eastAsia="Microsoft YaHei" w:cs="Microsoft YaHei"/>
          <w:sz w:val="16"/>
          <w:szCs w:val="16"/>
        </w:rPr>
      </w:pPr>
      <w:r>
        <w:rPr>
          <w:rFonts w:ascii="Arial" w:hAnsi="Arial" w:eastAsia="Arial" w:cs="Arial"/>
          <w:sz w:val="16"/>
          <w:szCs w:val="16"/>
          <w:spacing w:val="-2"/>
          <w:position w:val="1"/>
        </w:rPr>
        <w:t>2022/4/27</w:t>
      </w:r>
      <w:r>
        <w:rPr>
          <w:rFonts w:ascii="Arial" w:hAnsi="Arial" w:eastAsia="Arial" w:cs="Arial"/>
          <w:sz w:val="16"/>
          <w:szCs w:val="16"/>
          <w:spacing w:val="1"/>
          <w:position w:val="1"/>
        </w:rPr>
        <w:t>                             </w:t>
      </w:r>
      <w:r>
        <w:rPr>
          <w:rFonts w:ascii="Microsoft YaHei" w:hAnsi="Microsoft YaHei" w:eastAsia="Microsoft YaHei" w:cs="Microsoft YaHei"/>
          <w:sz w:val="16"/>
          <w:szCs w:val="16"/>
          <w:spacing w:val="-2"/>
        </w:rPr>
        <w:t>推动变革融合</w:t>
      </w:r>
      <w:r>
        <w:rPr>
          <w:rFonts w:ascii="Microsoft YaHei" w:hAnsi="Microsoft YaHei" w:eastAsia="Microsoft YaHei" w:cs="Microsoft YaHei"/>
          <w:sz w:val="16"/>
          <w:szCs w:val="16"/>
          <w:spacing w:val="8"/>
          <w:w w:val="101"/>
        </w:rPr>
        <w:t>   </w:t>
      </w:r>
      <w:r>
        <w:rPr>
          <w:rFonts w:ascii="Microsoft YaHei" w:hAnsi="Microsoft YaHei" w:eastAsia="Microsoft YaHei" w:cs="Microsoft YaHei"/>
          <w:sz w:val="16"/>
          <w:szCs w:val="16"/>
          <w:spacing w:val="-2"/>
        </w:rPr>
        <w:t>实现提质增效</w:t>
      </w:r>
      <w:r>
        <w:rPr>
          <w:rFonts w:ascii="Microsoft YaHei" w:hAnsi="Microsoft YaHei" w:eastAsia="Microsoft YaHei" w:cs="Microsoft YaHei"/>
          <w:sz w:val="16"/>
          <w:szCs w:val="16"/>
        </w:rPr>
        <w:t> </w:t>
      </w:r>
      <w:r>
        <w:rPr>
          <w:rFonts w:ascii="Microsoft YaHei" w:hAnsi="Microsoft YaHei" w:eastAsia="Microsoft YaHei" w:cs="Microsoft YaHei"/>
          <w:sz w:val="16"/>
          <w:szCs w:val="16"/>
          <w:spacing w:val="-2"/>
        </w:rPr>
        <w:t>合力推动会计事业再上新台阶</w:t>
      </w:r>
      <w:r>
        <w:rPr>
          <w:rFonts w:ascii="Arial" w:hAnsi="Arial" w:eastAsia="Arial" w:cs="Arial"/>
          <w:sz w:val="16"/>
          <w:szCs w:val="16"/>
          <w:spacing w:val="-2"/>
        </w:rPr>
        <w:t>——</w:t>
      </w:r>
      <w:r>
        <w:rPr>
          <w:rFonts w:ascii="Arial" w:hAnsi="Arial" w:eastAsia="Arial" w:cs="Arial"/>
          <w:sz w:val="16"/>
          <w:szCs w:val="16"/>
          <w:spacing w:val="34"/>
        </w:rPr>
        <w:t> </w:t>
      </w:r>
      <w:r>
        <w:rPr>
          <w:rFonts w:ascii="Microsoft YaHei" w:hAnsi="Microsoft YaHei" w:eastAsia="Microsoft YaHei" w:cs="Microsoft YaHei"/>
          <w:sz w:val="16"/>
          <w:szCs w:val="16"/>
          <w:spacing w:val="-2"/>
        </w:rPr>
        <w:t>《会计改革与发展</w:t>
      </w:r>
      <w:r>
        <w:rPr>
          <w:rFonts w:ascii="Arial" w:hAnsi="Arial" w:eastAsia="Arial" w:cs="Arial"/>
          <w:sz w:val="16"/>
          <w:szCs w:val="16"/>
          <w:spacing w:val="-2"/>
        </w:rPr>
        <w:t>“</w:t>
      </w:r>
      <w:r>
        <w:rPr>
          <w:rFonts w:ascii="Microsoft YaHei" w:hAnsi="Microsoft YaHei" w:eastAsia="Microsoft YaHei" w:cs="Microsoft YaHei"/>
          <w:sz w:val="16"/>
          <w:szCs w:val="16"/>
          <w:spacing w:val="-2"/>
        </w:rPr>
        <w:t>十四五</w:t>
      </w:r>
      <w:r>
        <w:rPr>
          <w:rFonts w:ascii="Arial" w:hAnsi="Arial" w:eastAsia="Arial" w:cs="Arial"/>
          <w:sz w:val="16"/>
          <w:szCs w:val="16"/>
          <w:spacing w:val="-2"/>
        </w:rPr>
        <w:t>”</w:t>
      </w:r>
      <w:r>
        <w:rPr>
          <w:rFonts w:ascii="Microsoft YaHei" w:hAnsi="Microsoft YaHei" w:eastAsia="Microsoft YaHei" w:cs="Microsoft YaHei"/>
          <w:sz w:val="16"/>
          <w:szCs w:val="16"/>
          <w:spacing w:val="-2"/>
        </w:rPr>
        <w:t>规划纲要》系列解读之一</w:t>
      </w:r>
    </w:p>
    <w:p>
      <w:pPr>
        <w:ind w:left="1033" w:right="1016" w:firstLine="12"/>
        <w:spacing w:before="136" w:line="327" w:lineRule="auto"/>
        <w:rPr>
          <w:rFonts w:ascii="SimSun" w:hAnsi="SimSun" w:eastAsia="SimSun" w:cs="SimSun"/>
          <w:sz w:val="17"/>
          <w:szCs w:val="17"/>
        </w:rPr>
      </w:pPr>
      <w:r>
        <w:rPr>
          <w:rFonts w:ascii="SimSun" w:hAnsi="SimSun" w:eastAsia="SimSun" w:cs="SimSun"/>
          <w:sz w:val="17"/>
          <w:szCs w:val="17"/>
          <w:color w:val="333333"/>
          <w:spacing w:val="-1"/>
        </w:rPr>
        <w:t>《财政部办公厅关于再次征求〈会计改革与发展“十四五”规划纲要（征求意见稿）</w:t>
      </w:r>
      <w:r>
        <w:rPr>
          <w:rFonts w:ascii="SimSun" w:hAnsi="SimSun" w:eastAsia="SimSun" w:cs="SimSun"/>
          <w:sz w:val="17"/>
          <w:szCs w:val="17"/>
          <w:color w:val="333333"/>
          <w:spacing w:val="13"/>
          <w:w w:val="101"/>
        </w:rPr>
        <w:t> </w:t>
      </w:r>
      <w:r>
        <w:rPr>
          <w:rFonts w:ascii="SimSun" w:hAnsi="SimSun" w:eastAsia="SimSun" w:cs="SimSun"/>
          <w:sz w:val="17"/>
          <w:szCs w:val="17"/>
          <w:color w:val="333333"/>
          <w:spacing w:val="-1"/>
        </w:rPr>
        <w:t>〉意见的函》</w:t>
      </w:r>
      <w:r>
        <w:rPr>
          <w:rFonts w:ascii="SimSun" w:hAnsi="SimSun" w:eastAsia="SimSun" w:cs="SimSun"/>
          <w:sz w:val="17"/>
          <w:szCs w:val="17"/>
          <w:color w:val="333333"/>
          <w:spacing w:val="20"/>
        </w:rPr>
        <w:t> </w:t>
      </w:r>
      <w:r>
        <w:rPr>
          <w:rFonts w:ascii="SimSun" w:hAnsi="SimSun" w:eastAsia="SimSun" w:cs="SimSun"/>
          <w:sz w:val="17"/>
          <w:szCs w:val="17"/>
          <w:color w:val="333333"/>
          <w:spacing w:val="-1"/>
        </w:rPr>
        <w:t>，再次重点征求了各级财政部门</w:t>
      </w:r>
      <w:r>
        <w:rPr>
          <w:rFonts w:ascii="SimSun" w:hAnsi="SimSun" w:eastAsia="SimSun" w:cs="SimSun"/>
          <w:sz w:val="17"/>
          <w:szCs w:val="17"/>
          <w:color w:val="333333"/>
        </w:rPr>
        <w:t> </w:t>
      </w:r>
      <w:r>
        <w:rPr>
          <w:rFonts w:ascii="SimSun" w:hAnsi="SimSun" w:eastAsia="SimSun" w:cs="SimSun"/>
          <w:sz w:val="17"/>
          <w:szCs w:val="17"/>
          <w:color w:val="333333"/>
          <w:spacing w:val="2"/>
        </w:rPr>
        <w:t>的意见。二是开展现场调研并组织片区座谈。我们于2021年4月至5月期间，分别赴湖北、广东实地走访了行政事业单位、企业、社</w:t>
      </w:r>
      <w:r>
        <w:rPr>
          <w:rFonts w:ascii="SimSun" w:hAnsi="SimSun" w:eastAsia="SimSun" w:cs="SimSun"/>
          <w:sz w:val="17"/>
          <w:szCs w:val="17"/>
          <w:color w:val="333333"/>
          <w:spacing w:val="39"/>
        </w:rPr>
        <w:t> </w:t>
      </w:r>
      <w:r>
        <w:rPr>
          <w:rFonts w:ascii="SimSun" w:hAnsi="SimSun" w:eastAsia="SimSun" w:cs="SimSun"/>
          <w:sz w:val="17"/>
          <w:szCs w:val="17"/>
          <w:color w:val="333333"/>
          <w:spacing w:val="1"/>
        </w:rPr>
        <w:t>会团体等15家单位，同时组织两个片区共16个省、计划单列市财政厅（局）</w:t>
      </w:r>
      <w:r>
        <w:rPr>
          <w:rFonts w:ascii="SimSun" w:hAnsi="SimSun" w:eastAsia="SimSun" w:cs="SimSun"/>
          <w:sz w:val="17"/>
          <w:szCs w:val="17"/>
          <w:color w:val="333333"/>
          <w:spacing w:val="15"/>
        </w:rPr>
        <w:t> </w:t>
      </w:r>
      <w:r>
        <w:rPr>
          <w:rFonts w:ascii="SimSun" w:hAnsi="SimSun" w:eastAsia="SimSun" w:cs="SimSun"/>
          <w:sz w:val="17"/>
          <w:szCs w:val="17"/>
          <w:color w:val="333333"/>
          <w:spacing w:val="1"/>
        </w:rPr>
        <w:t>座谈听取意见，充分发挥地方部门智力、信息优势，集</w:t>
      </w:r>
      <w:r>
        <w:rPr>
          <w:rFonts w:ascii="SimSun" w:hAnsi="SimSun" w:eastAsia="SimSun" w:cs="SimSun"/>
          <w:sz w:val="17"/>
          <w:szCs w:val="17"/>
          <w:color w:val="333333"/>
        </w:rPr>
        <w:t> </w:t>
      </w:r>
      <w:r>
        <w:rPr>
          <w:rFonts w:ascii="SimSun" w:hAnsi="SimSun" w:eastAsia="SimSun" w:cs="SimSun"/>
          <w:sz w:val="17"/>
          <w:szCs w:val="17"/>
          <w:color w:val="333333"/>
          <w:spacing w:val="-1"/>
        </w:rPr>
        <w:t>思广益完善《规划纲要》</w:t>
      </w:r>
      <w:r>
        <w:rPr>
          <w:rFonts w:ascii="SimSun" w:hAnsi="SimSun" w:eastAsia="SimSun" w:cs="SimSun"/>
          <w:sz w:val="17"/>
          <w:szCs w:val="17"/>
          <w:color w:val="333333"/>
          <w:spacing w:val="62"/>
          <w:w w:val="101"/>
        </w:rPr>
        <w:t> </w:t>
      </w:r>
      <w:r>
        <w:rPr>
          <w:rFonts w:ascii="SimSun" w:hAnsi="SimSun" w:eastAsia="SimSun" w:cs="SimSun"/>
          <w:sz w:val="17"/>
          <w:szCs w:val="17"/>
          <w:color w:val="333333"/>
          <w:spacing w:val="-1"/>
        </w:rPr>
        <w:t>的编制。三是开展网上问卷调查。2021年4月10</w:t>
      </w:r>
      <w:r>
        <w:rPr>
          <w:rFonts w:ascii="SimSun" w:hAnsi="SimSun" w:eastAsia="SimSun" w:cs="SimSun"/>
          <w:sz w:val="17"/>
          <w:szCs w:val="17"/>
          <w:color w:val="333333"/>
          <w:spacing w:val="-49"/>
        </w:rPr>
        <w:t> </w:t>
      </w:r>
      <w:r>
        <w:rPr>
          <w:rFonts w:ascii="SimSun" w:hAnsi="SimSun" w:eastAsia="SimSun" w:cs="SimSun"/>
          <w:sz w:val="17"/>
          <w:szCs w:val="17"/>
          <w:color w:val="333333"/>
          <w:spacing w:val="-1"/>
        </w:rPr>
        <w:t>日至5月10</w:t>
      </w:r>
      <w:r>
        <w:rPr>
          <w:rFonts w:ascii="SimSun" w:hAnsi="SimSun" w:eastAsia="SimSun" w:cs="SimSun"/>
          <w:sz w:val="17"/>
          <w:szCs w:val="17"/>
          <w:color w:val="333333"/>
          <w:spacing w:val="-48"/>
        </w:rPr>
        <w:t> </w:t>
      </w:r>
      <w:r>
        <w:rPr>
          <w:rFonts w:ascii="SimSun" w:hAnsi="SimSun" w:eastAsia="SimSun" w:cs="SimSun"/>
          <w:sz w:val="17"/>
          <w:szCs w:val="17"/>
          <w:color w:val="333333"/>
          <w:spacing w:val="-1"/>
        </w:rPr>
        <w:t>日，我们会同上海国家会计学院开展了网络问卷</w:t>
      </w:r>
      <w:r>
        <w:rPr>
          <w:rFonts w:ascii="SimSun" w:hAnsi="SimSun" w:eastAsia="SimSun" w:cs="SimSun"/>
          <w:sz w:val="17"/>
          <w:szCs w:val="17"/>
          <w:color w:val="333333"/>
        </w:rPr>
        <w:t> </w:t>
      </w:r>
      <w:r>
        <w:rPr>
          <w:rFonts w:ascii="SimSun" w:hAnsi="SimSun" w:eastAsia="SimSun" w:cs="SimSun"/>
          <w:sz w:val="17"/>
          <w:szCs w:val="17"/>
          <w:color w:val="333333"/>
          <w:spacing w:val="2"/>
        </w:rPr>
        <w:t>调查，并开发了专用手机客户端，以方便社会各界多渠道参与《规划纲要》</w:t>
      </w:r>
      <w:r>
        <w:rPr>
          <w:rFonts w:ascii="SimSun" w:hAnsi="SimSun" w:eastAsia="SimSun" w:cs="SimSun"/>
          <w:sz w:val="17"/>
          <w:szCs w:val="17"/>
          <w:color w:val="333333"/>
          <w:spacing w:val="39"/>
        </w:rPr>
        <w:t> </w:t>
      </w:r>
      <w:r>
        <w:rPr>
          <w:rFonts w:ascii="SimSun" w:hAnsi="SimSun" w:eastAsia="SimSun" w:cs="SimSun"/>
          <w:sz w:val="17"/>
          <w:szCs w:val="17"/>
          <w:color w:val="333333"/>
          <w:spacing w:val="2"/>
        </w:rPr>
        <w:t>的意见征求活动。四是召开专家论证会。2021年9月24</w:t>
      </w:r>
      <w:r>
        <w:rPr>
          <w:rFonts w:ascii="SimSun" w:hAnsi="SimSun" w:eastAsia="SimSun" w:cs="SimSun"/>
          <w:sz w:val="17"/>
          <w:szCs w:val="17"/>
          <w:color w:val="333333"/>
        </w:rPr>
        <w:t> </w:t>
      </w:r>
      <w:r>
        <w:rPr>
          <w:rFonts w:ascii="SimSun" w:hAnsi="SimSun" w:eastAsia="SimSun" w:cs="SimSun"/>
          <w:sz w:val="17"/>
          <w:szCs w:val="17"/>
          <w:color w:val="333333"/>
          <w:spacing w:val="-1"/>
        </w:rPr>
        <w:t>日，我们召开《规划纲要》</w:t>
      </w:r>
      <w:r>
        <w:rPr>
          <w:rFonts w:ascii="SimSun" w:hAnsi="SimSun" w:eastAsia="SimSun" w:cs="SimSun"/>
          <w:sz w:val="17"/>
          <w:szCs w:val="17"/>
          <w:color w:val="333333"/>
          <w:spacing w:val="34"/>
        </w:rPr>
        <w:t> </w:t>
      </w:r>
      <w:r>
        <w:rPr>
          <w:rFonts w:ascii="SimSun" w:hAnsi="SimSun" w:eastAsia="SimSun" w:cs="SimSun"/>
          <w:sz w:val="17"/>
          <w:szCs w:val="17"/>
          <w:color w:val="333333"/>
          <w:spacing w:val="-1"/>
        </w:rPr>
        <w:t>专家论证会。来自实务界、理论界、监管机构的10位专家就《规划纲要》</w:t>
      </w:r>
      <w:r>
        <w:rPr>
          <w:rFonts w:ascii="SimSun" w:hAnsi="SimSun" w:eastAsia="SimSun" w:cs="SimSun"/>
          <w:sz w:val="17"/>
          <w:szCs w:val="17"/>
          <w:color w:val="333333"/>
          <w:spacing w:val="13"/>
        </w:rPr>
        <w:t> </w:t>
      </w:r>
      <w:r>
        <w:rPr>
          <w:rFonts w:ascii="SimSun" w:hAnsi="SimSun" w:eastAsia="SimSun" w:cs="SimSun"/>
          <w:sz w:val="17"/>
          <w:szCs w:val="17"/>
          <w:color w:val="333333"/>
          <w:spacing w:val="-1"/>
        </w:rPr>
        <w:t>的科学性、可行性和前瞻性进</w:t>
      </w:r>
      <w:r>
        <w:rPr>
          <w:rFonts w:ascii="SimSun" w:hAnsi="SimSun" w:eastAsia="SimSun" w:cs="SimSun"/>
          <w:sz w:val="17"/>
          <w:szCs w:val="17"/>
          <w:color w:val="333333"/>
        </w:rPr>
        <w:t> </w:t>
      </w:r>
      <w:r>
        <w:rPr>
          <w:rFonts w:ascii="SimSun" w:hAnsi="SimSun" w:eastAsia="SimSun" w:cs="SimSun"/>
          <w:sz w:val="17"/>
          <w:szCs w:val="17"/>
          <w:color w:val="333333"/>
          <w:spacing w:val="3"/>
        </w:rPr>
        <w:t>行了全面论证，并给予了充分肯定。2021年9月30</w:t>
      </w:r>
      <w:r>
        <w:rPr>
          <w:rFonts w:ascii="SimSun" w:hAnsi="SimSun" w:eastAsia="SimSun" w:cs="SimSun"/>
          <w:sz w:val="17"/>
          <w:szCs w:val="17"/>
          <w:color w:val="333333"/>
          <w:spacing w:val="-24"/>
        </w:rPr>
        <w:t> </w:t>
      </w:r>
      <w:r>
        <w:rPr>
          <w:rFonts w:ascii="SimSun" w:hAnsi="SimSun" w:eastAsia="SimSun" w:cs="SimSun"/>
          <w:sz w:val="17"/>
          <w:szCs w:val="17"/>
          <w:color w:val="333333"/>
          <w:spacing w:val="3"/>
        </w:rPr>
        <w:t>日，我们组织召开《规划纲要》</w:t>
      </w:r>
      <w:r>
        <w:rPr>
          <w:rFonts w:ascii="SimSun" w:hAnsi="SimSun" w:eastAsia="SimSun" w:cs="SimSun"/>
          <w:sz w:val="17"/>
          <w:szCs w:val="17"/>
          <w:color w:val="333333"/>
          <w:spacing w:val="3"/>
        </w:rPr>
        <w:t> </w:t>
      </w:r>
      <w:r>
        <w:rPr>
          <w:rFonts w:ascii="SimSun" w:hAnsi="SimSun" w:eastAsia="SimSun" w:cs="SimSun"/>
          <w:sz w:val="17"/>
          <w:szCs w:val="17"/>
          <w:color w:val="333333"/>
          <w:spacing w:val="3"/>
        </w:rPr>
        <w:t>专题论证会，来自理论界的6位专家深入论证了</w:t>
      </w:r>
      <w:r>
        <w:rPr>
          <w:rFonts w:ascii="SimSun" w:hAnsi="SimSun" w:eastAsia="SimSun" w:cs="SimSun"/>
          <w:sz w:val="17"/>
          <w:szCs w:val="17"/>
          <w:color w:val="333333"/>
        </w:rPr>
        <w:t> </w:t>
      </w:r>
      <w:r>
        <w:rPr>
          <w:rFonts w:ascii="SimSun" w:hAnsi="SimSun" w:eastAsia="SimSun" w:cs="SimSun"/>
          <w:sz w:val="17"/>
          <w:szCs w:val="17"/>
          <w:color w:val="333333"/>
        </w:rPr>
        <w:t>“会计职能拓展”的科学性和必要性。</w:t>
      </w:r>
    </w:p>
    <w:p>
      <w:pPr>
        <w:ind w:left="1043" w:right="1016" w:firstLine="350"/>
        <w:spacing w:before="172" w:line="327" w:lineRule="auto"/>
        <w:rPr>
          <w:rFonts w:ascii="SimSun" w:hAnsi="SimSun" w:eastAsia="SimSun" w:cs="SimSun"/>
          <w:sz w:val="17"/>
          <w:szCs w:val="17"/>
        </w:rPr>
      </w:pPr>
      <w:r>
        <w:rPr>
          <w:rFonts w:ascii="SimSun" w:hAnsi="SimSun" w:eastAsia="SimSun" w:cs="SimSun"/>
          <w:sz w:val="17"/>
          <w:szCs w:val="17"/>
          <w:color w:val="333333"/>
        </w:rPr>
        <w:t>总体来看，社会各界普遍认为《规划纲要》</w:t>
      </w:r>
      <w:r>
        <w:rPr>
          <w:rFonts w:ascii="SimSun" w:hAnsi="SimSun" w:eastAsia="SimSun" w:cs="SimSun"/>
          <w:sz w:val="17"/>
          <w:szCs w:val="17"/>
          <w:color w:val="333333"/>
          <w:spacing w:val="53"/>
        </w:rPr>
        <w:t> </w:t>
      </w:r>
      <w:r>
        <w:rPr>
          <w:rFonts w:ascii="SimSun" w:hAnsi="SimSun" w:eastAsia="SimSun" w:cs="SimSun"/>
          <w:sz w:val="17"/>
          <w:szCs w:val="17"/>
          <w:color w:val="333333"/>
        </w:rPr>
        <w:t>内容全面、措施有效，是一个符合实际、布局科学、任务明确、催人奋进、引领未</w:t>
      </w:r>
      <w:r>
        <w:rPr>
          <w:rFonts w:ascii="SimSun" w:hAnsi="SimSun" w:eastAsia="SimSun" w:cs="SimSun"/>
          <w:sz w:val="17"/>
          <w:szCs w:val="17"/>
          <w:color w:val="333333"/>
        </w:rPr>
        <w:t> </w:t>
      </w:r>
      <w:r>
        <w:rPr>
          <w:rFonts w:ascii="SimSun" w:hAnsi="SimSun" w:eastAsia="SimSun" w:cs="SimSun"/>
          <w:sz w:val="17"/>
          <w:szCs w:val="17"/>
          <w:color w:val="333333"/>
          <w:spacing w:val="5"/>
        </w:rPr>
        <w:t>来的好规划。通过书面征求意见、现场调研座谈、网络问卷调查、专家论证会等多种形式和渠道，我们共获得有效调查问卷1457</w:t>
      </w:r>
      <w:r>
        <w:rPr>
          <w:rFonts w:ascii="SimSun" w:hAnsi="SimSun" w:eastAsia="SimSun" w:cs="SimSun"/>
          <w:sz w:val="17"/>
          <w:szCs w:val="17"/>
          <w:color w:val="333333"/>
          <w:spacing w:val="29"/>
        </w:rPr>
        <w:t> </w:t>
      </w:r>
      <w:r>
        <w:rPr>
          <w:rFonts w:ascii="SimSun" w:hAnsi="SimSun" w:eastAsia="SimSun" w:cs="SimSun"/>
          <w:sz w:val="17"/>
          <w:szCs w:val="17"/>
          <w:color w:val="333333"/>
          <w:spacing w:val="2"/>
        </w:rPr>
        <w:t>份，书面反馈意见177份，不重复的意见建议364条。我们本着能采纳的尽量采纳、能吸收的尽量吸收、能覆盖的尽量覆盖的原则，</w:t>
      </w:r>
      <w:r>
        <w:rPr>
          <w:rFonts w:ascii="SimSun" w:hAnsi="SimSun" w:eastAsia="SimSun" w:cs="SimSun"/>
          <w:sz w:val="17"/>
          <w:szCs w:val="17"/>
          <w:color w:val="333333"/>
          <w:spacing w:val="29"/>
        </w:rPr>
        <w:t> </w:t>
      </w:r>
      <w:r>
        <w:rPr>
          <w:rFonts w:ascii="SimSun" w:hAnsi="SimSun" w:eastAsia="SimSun" w:cs="SimSun"/>
          <w:sz w:val="17"/>
          <w:szCs w:val="17"/>
          <w:color w:val="333333"/>
        </w:rPr>
        <w:t>共吸收采纳意见建议159条，相应增加、删除或修改具体表述132处。</w:t>
      </w:r>
    </w:p>
    <w:p>
      <w:pPr>
        <w:ind w:firstLine="1394"/>
        <w:spacing w:before="171" w:line="187" w:lineRule="auto"/>
        <w:rPr>
          <w:rFonts w:ascii="SimSun" w:hAnsi="SimSun" w:eastAsia="SimSun" w:cs="SimSun"/>
          <w:sz w:val="17"/>
          <w:szCs w:val="17"/>
        </w:rPr>
      </w:pPr>
      <w:r>
        <w:rPr>
          <w:rFonts w:ascii="SimSun" w:hAnsi="SimSun" w:eastAsia="SimSun" w:cs="SimSun"/>
          <w:sz w:val="17"/>
          <w:szCs w:val="17"/>
          <w:color w:val="333333"/>
          <w:spacing w:val="-1"/>
        </w:rPr>
        <w:t>（三）《规划纲要》主要考虑。</w:t>
      </w:r>
    </w:p>
    <w:p>
      <w:pPr>
        <w:ind w:firstLine="1392"/>
        <w:spacing w:before="302" w:line="187" w:lineRule="auto"/>
        <w:rPr>
          <w:rFonts w:ascii="SimSun" w:hAnsi="SimSun" w:eastAsia="SimSun" w:cs="SimSun"/>
          <w:sz w:val="17"/>
          <w:szCs w:val="17"/>
        </w:rPr>
      </w:pPr>
      <w:r>
        <w:rPr>
          <w:rFonts w:ascii="SimSun" w:hAnsi="SimSun" w:eastAsia="SimSun" w:cs="SimSun"/>
          <w:sz w:val="17"/>
          <w:szCs w:val="17"/>
          <w:color w:val="333333"/>
        </w:rPr>
        <w:t>总体来看，此次《规划纲要》的编制主要从以下方面出发来谋篇布局。</w:t>
      </w:r>
    </w:p>
    <w:p>
      <w:pPr>
        <w:ind w:left="1033" w:right="1016" w:firstLine="355"/>
        <w:spacing w:before="303" w:line="327" w:lineRule="auto"/>
        <w:rPr>
          <w:rFonts w:ascii="SimSun" w:hAnsi="SimSun" w:eastAsia="SimSun" w:cs="SimSun"/>
          <w:sz w:val="17"/>
          <w:szCs w:val="17"/>
        </w:rPr>
      </w:pPr>
      <w:r>
        <w:rPr>
          <w:rFonts w:ascii="SimSun" w:hAnsi="SimSun" w:eastAsia="SimSun" w:cs="SimSun"/>
          <w:sz w:val="17"/>
          <w:szCs w:val="17"/>
          <w:color w:val="333333"/>
          <w:spacing w:val="2"/>
        </w:rPr>
        <w:t>——围绕一个中心。即围绕“变革融合、提质增效”这个中心。变革融合是会计行业运用新技术、融入新时代、实现新突破的</w:t>
      </w:r>
      <w:r>
        <w:rPr>
          <w:rFonts w:ascii="SimSun" w:hAnsi="SimSun" w:eastAsia="SimSun" w:cs="SimSun"/>
          <w:sz w:val="17"/>
          <w:szCs w:val="17"/>
          <w:color w:val="333333"/>
          <w:spacing w:val="34"/>
        </w:rPr>
        <w:t> </w:t>
      </w:r>
      <w:r>
        <w:rPr>
          <w:rFonts w:ascii="SimSun" w:hAnsi="SimSun" w:eastAsia="SimSun" w:cs="SimSun"/>
          <w:sz w:val="17"/>
          <w:szCs w:val="17"/>
          <w:color w:val="333333"/>
          <w:spacing w:val="2"/>
        </w:rPr>
        <w:t>必由之路。</w:t>
      </w:r>
      <w:r>
        <w:rPr>
          <w:rFonts w:ascii="SimSun" w:hAnsi="SimSun" w:eastAsia="SimSun" w:cs="SimSun"/>
          <w:sz w:val="17"/>
          <w:szCs w:val="17"/>
          <w:color w:val="333333"/>
          <w:spacing w:val="-40"/>
        </w:rPr>
        <w:t> </w:t>
      </w:r>
      <w:r>
        <w:rPr>
          <w:rFonts w:ascii="SimSun" w:hAnsi="SimSun" w:eastAsia="SimSun" w:cs="SimSun"/>
          <w:sz w:val="17"/>
          <w:szCs w:val="17"/>
          <w:color w:val="333333"/>
          <w:spacing w:val="2"/>
        </w:rPr>
        <w:t>“变革”强调信息技术在会计、审计及会计管理工作中的运用，以及由此所带来的会计技术、会计工作组织方式、会计</w:t>
      </w:r>
      <w:r>
        <w:rPr>
          <w:rFonts w:ascii="SimSun" w:hAnsi="SimSun" w:eastAsia="SimSun" w:cs="SimSun"/>
          <w:sz w:val="17"/>
          <w:szCs w:val="17"/>
          <w:color w:val="333333"/>
        </w:rPr>
        <w:t> </w:t>
      </w:r>
      <w:r>
        <w:rPr>
          <w:rFonts w:ascii="SimSun" w:hAnsi="SimSun" w:eastAsia="SimSun" w:cs="SimSun"/>
          <w:sz w:val="17"/>
          <w:szCs w:val="17"/>
          <w:color w:val="333333"/>
          <w:spacing w:val="2"/>
        </w:rPr>
        <w:t>职能、会计工作边界、会计工作定位等的变化，是未来一个时期会计改革与发展的显著特征；“融合”强调实现会计服务功能的拓</w:t>
      </w:r>
      <w:r>
        <w:rPr>
          <w:rFonts w:ascii="SimSun" w:hAnsi="SimSun" w:eastAsia="SimSun" w:cs="SimSun"/>
          <w:sz w:val="17"/>
          <w:szCs w:val="17"/>
          <w:color w:val="333333"/>
          <w:spacing w:val="45"/>
        </w:rPr>
        <w:t> </w:t>
      </w:r>
      <w:r>
        <w:rPr>
          <w:rFonts w:ascii="SimSun" w:hAnsi="SimSun" w:eastAsia="SimSun" w:cs="SimSun"/>
          <w:sz w:val="17"/>
          <w:szCs w:val="17"/>
          <w:color w:val="333333"/>
          <w:spacing w:val="2"/>
        </w:rPr>
        <w:t>展，在夯实会计工作传统的核算、监督职能、提供高质量会计数据的基础上，对内更好地与微观主体经营管理有机融合，对外更好</w:t>
      </w:r>
      <w:r>
        <w:rPr>
          <w:rFonts w:ascii="SimSun" w:hAnsi="SimSun" w:eastAsia="SimSun" w:cs="SimSun"/>
          <w:sz w:val="17"/>
          <w:szCs w:val="17"/>
          <w:color w:val="333333"/>
          <w:spacing w:val="45"/>
        </w:rPr>
        <w:t> </w:t>
      </w:r>
      <w:r>
        <w:rPr>
          <w:rFonts w:ascii="SimSun" w:hAnsi="SimSun" w:eastAsia="SimSun" w:cs="SimSun"/>
          <w:sz w:val="17"/>
          <w:szCs w:val="17"/>
          <w:color w:val="333333"/>
          <w:spacing w:val="5"/>
        </w:rPr>
        <w:t>地与宏观经济管理、财政管理有机融合，是未来一个时期会计改革与发展的必然趋势。提质增效是会计改革与发展的最终目标。</w:t>
      </w:r>
      <w:r>
        <w:rPr>
          <w:rFonts w:ascii="SimSun" w:hAnsi="SimSun" w:eastAsia="SimSun" w:cs="SimSun"/>
          <w:sz w:val="17"/>
          <w:szCs w:val="17"/>
          <w:color w:val="333333"/>
          <w:spacing w:val="49"/>
        </w:rPr>
        <w:t> </w:t>
      </w:r>
      <w:r>
        <w:rPr>
          <w:rFonts w:ascii="SimSun" w:hAnsi="SimSun" w:eastAsia="SimSun" w:cs="SimSun"/>
          <w:sz w:val="17"/>
          <w:szCs w:val="17"/>
          <w:color w:val="333333"/>
          <w:spacing w:val="2"/>
        </w:rPr>
        <w:t>“提质”强调聚焦当前会计行业发展中的短板弱项，着重加强会计审计工作质量，以满足经济社会发展对高质量会计审计信息的迫</w:t>
      </w:r>
      <w:r>
        <w:rPr>
          <w:rFonts w:ascii="SimSun" w:hAnsi="SimSun" w:eastAsia="SimSun" w:cs="SimSun"/>
          <w:sz w:val="17"/>
          <w:szCs w:val="17"/>
          <w:color w:val="333333"/>
          <w:spacing w:val="45"/>
        </w:rPr>
        <w:t> </w:t>
      </w:r>
      <w:r>
        <w:rPr>
          <w:rFonts w:ascii="SimSun" w:hAnsi="SimSun" w:eastAsia="SimSun" w:cs="SimSun"/>
          <w:sz w:val="17"/>
          <w:szCs w:val="17"/>
          <w:color w:val="333333"/>
        </w:rPr>
        <w:t>切需要；</w:t>
      </w:r>
      <w:r>
        <w:rPr>
          <w:rFonts w:ascii="SimSun" w:hAnsi="SimSun" w:eastAsia="SimSun" w:cs="SimSun"/>
          <w:sz w:val="17"/>
          <w:szCs w:val="17"/>
          <w:color w:val="333333"/>
          <w:spacing w:val="74"/>
        </w:rPr>
        <w:t> </w:t>
      </w:r>
      <w:r>
        <w:rPr>
          <w:rFonts w:ascii="SimSun" w:hAnsi="SimSun" w:eastAsia="SimSun" w:cs="SimSun"/>
          <w:sz w:val="17"/>
          <w:szCs w:val="17"/>
          <w:color w:val="333333"/>
        </w:rPr>
        <w:t>“增效”强调在抓好会计审计质量建设的同时，要注重增强会计管理工作的效能，为提升国家治理体系和治理能力现代化</w:t>
      </w:r>
      <w:r>
        <w:rPr>
          <w:rFonts w:ascii="SimSun" w:hAnsi="SimSun" w:eastAsia="SimSun" w:cs="SimSun"/>
          <w:sz w:val="17"/>
          <w:szCs w:val="17"/>
          <w:color w:val="333333"/>
        </w:rPr>
        <w:t> </w:t>
      </w:r>
      <w:r>
        <w:rPr>
          <w:rFonts w:ascii="SimSun" w:hAnsi="SimSun" w:eastAsia="SimSun" w:cs="SimSun"/>
          <w:sz w:val="17"/>
          <w:szCs w:val="17"/>
          <w:color w:val="333333"/>
          <w:spacing w:val="-1"/>
        </w:rPr>
        <w:t>水平作出应有贡献。</w:t>
      </w:r>
    </w:p>
    <w:p>
      <w:pPr>
        <w:ind w:left="1044" w:right="1016" w:firstLine="349"/>
        <w:spacing w:before="172" w:line="327" w:lineRule="auto"/>
        <w:rPr>
          <w:rFonts w:ascii="SimSun" w:hAnsi="SimSun" w:eastAsia="SimSun" w:cs="SimSun"/>
          <w:sz w:val="17"/>
          <w:szCs w:val="17"/>
        </w:rPr>
      </w:pPr>
      <w:r>
        <w:rPr>
          <w:rFonts w:ascii="SimSun" w:hAnsi="SimSun" w:eastAsia="SimSun" w:cs="SimSun"/>
          <w:sz w:val="17"/>
          <w:szCs w:val="17"/>
          <w:color w:val="333333"/>
          <w:spacing w:val="3"/>
        </w:rPr>
        <w:t>——做到两个对照。即以《中华人民共和国国民经济和社会发展第十四个五年规划和2035年远景目标纲要》</w:t>
      </w:r>
      <w:r>
        <w:rPr>
          <w:rFonts w:ascii="SimSun" w:hAnsi="SimSun" w:eastAsia="SimSun" w:cs="SimSun"/>
          <w:sz w:val="17"/>
          <w:szCs w:val="17"/>
          <w:color w:val="333333"/>
          <w:spacing w:val="55"/>
        </w:rPr>
        <w:t> </w:t>
      </w:r>
      <w:r>
        <w:rPr>
          <w:rFonts w:ascii="SimSun" w:hAnsi="SimSun" w:eastAsia="SimSun" w:cs="SimSun"/>
          <w:sz w:val="17"/>
          <w:szCs w:val="17"/>
          <w:color w:val="333333"/>
          <w:spacing w:val="3"/>
        </w:rPr>
        <w:t>和《财政“十四</w:t>
      </w:r>
      <w:r>
        <w:rPr>
          <w:rFonts w:ascii="SimSun" w:hAnsi="SimSun" w:eastAsia="SimSun" w:cs="SimSun"/>
          <w:sz w:val="17"/>
          <w:szCs w:val="17"/>
          <w:color w:val="333333"/>
        </w:rPr>
        <w:t> </w:t>
      </w:r>
      <w:r>
        <w:rPr>
          <w:rFonts w:ascii="SimSun" w:hAnsi="SimSun" w:eastAsia="SimSun" w:cs="SimSun"/>
          <w:sz w:val="17"/>
          <w:szCs w:val="17"/>
          <w:color w:val="333333"/>
        </w:rPr>
        <w:t>五”规划》</w:t>
      </w:r>
      <w:r>
        <w:rPr>
          <w:rFonts w:ascii="SimSun" w:hAnsi="SimSun" w:eastAsia="SimSun" w:cs="SimSun"/>
          <w:sz w:val="17"/>
          <w:szCs w:val="17"/>
          <w:color w:val="333333"/>
          <w:spacing w:val="63"/>
        </w:rPr>
        <w:t> </w:t>
      </w:r>
      <w:r>
        <w:rPr>
          <w:rFonts w:ascii="SimSun" w:hAnsi="SimSun" w:eastAsia="SimSun" w:cs="SimSun"/>
          <w:sz w:val="17"/>
          <w:szCs w:val="17"/>
          <w:color w:val="333333"/>
        </w:rPr>
        <w:t>为根本遵循，对标对表、落实落地。作为财政工作的重要组成，会计工作必须主动融入经济社会发展大局和财政管理工</w:t>
      </w:r>
      <w:r>
        <w:rPr>
          <w:rFonts w:ascii="SimSun" w:hAnsi="SimSun" w:eastAsia="SimSun" w:cs="SimSun"/>
          <w:sz w:val="17"/>
          <w:szCs w:val="17"/>
          <w:color w:val="333333"/>
        </w:rPr>
        <w:t> </w:t>
      </w:r>
      <w:r>
        <w:rPr>
          <w:rFonts w:ascii="SimSun" w:hAnsi="SimSun" w:eastAsia="SimSun" w:cs="SimSun"/>
          <w:sz w:val="17"/>
          <w:szCs w:val="17"/>
          <w:color w:val="333333"/>
          <w:spacing w:val="1"/>
        </w:rPr>
        <w:t>作全局，以推动高质量发展为主题，科学谋划好未来五年的会计事业发展，以实现更高质量、更加公平、更可持续的发展。</w:t>
      </w:r>
    </w:p>
    <w:p>
      <w:pPr>
        <w:ind w:left="1045" w:right="1016" w:firstLine="349"/>
        <w:spacing w:before="173" w:line="327" w:lineRule="auto"/>
        <w:rPr>
          <w:rFonts w:ascii="SimSun" w:hAnsi="SimSun" w:eastAsia="SimSun" w:cs="SimSun"/>
          <w:sz w:val="17"/>
          <w:szCs w:val="17"/>
        </w:rPr>
      </w:pPr>
      <w:r>
        <w:rPr>
          <w:rFonts w:ascii="SimSun" w:hAnsi="SimSun" w:eastAsia="SimSun" w:cs="SimSun"/>
          <w:sz w:val="17"/>
          <w:szCs w:val="17"/>
          <w:color w:val="333333"/>
          <w:spacing w:val="5"/>
        </w:rPr>
        <w:t>——把握三个立足。即立足于“十三五”时期会计改革与发展的成果，立足于当下经济社会发展和技术发展的新形势、新要</w:t>
      </w:r>
      <w:r>
        <w:rPr>
          <w:rFonts w:ascii="SimSun" w:hAnsi="SimSun" w:eastAsia="SimSun" w:cs="SimSun"/>
          <w:sz w:val="17"/>
          <w:szCs w:val="17"/>
          <w:color w:val="333333"/>
          <w:spacing w:val="38"/>
        </w:rPr>
        <w:t> </w:t>
      </w:r>
      <w:r>
        <w:rPr>
          <w:rFonts w:ascii="SimSun" w:hAnsi="SimSun" w:eastAsia="SimSun" w:cs="SimSun"/>
          <w:sz w:val="17"/>
          <w:szCs w:val="17"/>
          <w:color w:val="333333"/>
          <w:spacing w:val="1"/>
        </w:rPr>
        <w:t>求，立足于把握未来五年发展机遇期，规划目标、明确任务、制定措施。</w:t>
      </w:r>
    </w:p>
    <w:p>
      <w:pPr>
        <w:ind w:left="1048" w:right="1016" w:firstLine="339"/>
        <w:spacing w:before="172" w:line="327" w:lineRule="auto"/>
        <w:rPr>
          <w:rFonts w:ascii="SimSun" w:hAnsi="SimSun" w:eastAsia="SimSun" w:cs="SimSun"/>
          <w:sz w:val="17"/>
          <w:szCs w:val="17"/>
        </w:rPr>
      </w:pPr>
      <w:r>
        <w:rPr>
          <w:rFonts w:ascii="SimSun" w:hAnsi="SimSun" w:eastAsia="SimSun" w:cs="SimSun"/>
          <w:sz w:val="17"/>
          <w:szCs w:val="17"/>
          <w:color w:val="333333"/>
          <w:spacing w:val="1"/>
        </w:rPr>
        <w:t>——紧扣四个关键。即牢牢把握会计审计标准制定和实施“两个重点”</w:t>
      </w:r>
      <w:r>
        <w:rPr>
          <w:rFonts w:ascii="SimSun" w:hAnsi="SimSun" w:eastAsia="SimSun" w:cs="SimSun"/>
          <w:sz w:val="17"/>
          <w:szCs w:val="17"/>
          <w:color w:val="333333"/>
          <w:spacing w:val="-15"/>
        </w:rPr>
        <w:t> </w:t>
      </w:r>
      <w:r>
        <w:rPr>
          <w:rFonts w:ascii="SimSun" w:hAnsi="SimSun" w:eastAsia="SimSun" w:cs="SimSun"/>
          <w:sz w:val="17"/>
          <w:szCs w:val="17"/>
          <w:color w:val="333333"/>
          <w:spacing w:val="1"/>
        </w:rPr>
        <w:t>、切实抓好行业和人才队伍“两个管理”</w:t>
      </w:r>
      <w:r>
        <w:rPr>
          <w:rFonts w:ascii="SimSun" w:hAnsi="SimSun" w:eastAsia="SimSun" w:cs="SimSun"/>
          <w:sz w:val="17"/>
          <w:szCs w:val="17"/>
          <w:color w:val="333333"/>
          <w:spacing w:val="-66"/>
        </w:rPr>
        <w:t> </w:t>
      </w:r>
      <w:r>
        <w:rPr>
          <w:rFonts w:ascii="SimSun" w:hAnsi="SimSun" w:eastAsia="SimSun" w:cs="SimSun"/>
          <w:sz w:val="17"/>
          <w:szCs w:val="17"/>
          <w:color w:val="333333"/>
          <w:spacing w:val="1"/>
        </w:rPr>
        <w:t>、持续强化法</w:t>
      </w:r>
      <w:r>
        <w:rPr>
          <w:rFonts w:ascii="SimSun" w:hAnsi="SimSun" w:eastAsia="SimSun" w:cs="SimSun"/>
          <w:sz w:val="17"/>
          <w:szCs w:val="17"/>
          <w:color w:val="333333"/>
        </w:rPr>
        <w:t> </w:t>
      </w:r>
      <w:r>
        <w:rPr>
          <w:rFonts w:ascii="SimSun" w:hAnsi="SimSun" w:eastAsia="SimSun" w:cs="SimSun"/>
          <w:sz w:val="17"/>
          <w:szCs w:val="17"/>
          <w:color w:val="333333"/>
          <w:spacing w:val="1"/>
        </w:rPr>
        <w:t>治化和数字化“两个支撑”、努力实现会计职能对内对外“两个拓展”，积极推动我国会计事业取得新成绩、实现新跨越。</w:t>
      </w:r>
    </w:p>
    <w:p>
      <w:pPr>
        <w:ind w:left="1043" w:right="1016" w:firstLine="344"/>
        <w:spacing w:before="173" w:line="327" w:lineRule="auto"/>
        <w:rPr>
          <w:rFonts w:ascii="SimSun" w:hAnsi="SimSun" w:eastAsia="SimSun" w:cs="SimSun"/>
          <w:sz w:val="17"/>
          <w:szCs w:val="17"/>
        </w:rPr>
      </w:pPr>
      <w:r>
        <w:rPr>
          <w:rFonts w:ascii="SimSun" w:hAnsi="SimSun" w:eastAsia="SimSun" w:cs="SimSun"/>
          <w:sz w:val="17"/>
          <w:szCs w:val="17"/>
          <w:color w:val="333333"/>
          <w:spacing w:val="2"/>
        </w:rPr>
        <w:t>——抓住五条主线。即围绕着会计标准建设、会计审计质量建设、人才队伍建设、法治建设，以及数字化建设这五条主线，规</w:t>
      </w:r>
      <w:r>
        <w:rPr>
          <w:rFonts w:ascii="SimSun" w:hAnsi="SimSun" w:eastAsia="SimSun" w:cs="SimSun"/>
          <w:sz w:val="17"/>
          <w:szCs w:val="17"/>
          <w:color w:val="333333"/>
          <w:spacing w:val="34"/>
        </w:rPr>
        <w:t> </w:t>
      </w:r>
      <w:r>
        <w:rPr>
          <w:rFonts w:ascii="SimSun" w:hAnsi="SimSun" w:eastAsia="SimSun" w:cs="SimSun"/>
          <w:sz w:val="17"/>
          <w:szCs w:val="17"/>
          <w:color w:val="333333"/>
        </w:rPr>
        <w:t>划设计未来五年会计改革与发展的具体措施。</w:t>
      </w:r>
    </w:p>
    <w:p>
      <w:pPr>
        <w:ind w:firstLine="1394"/>
        <w:spacing w:before="172" w:line="187" w:lineRule="auto"/>
        <w:rPr>
          <w:rFonts w:ascii="SimSun" w:hAnsi="SimSun" w:eastAsia="SimSun" w:cs="SimSun"/>
          <w:sz w:val="17"/>
          <w:szCs w:val="17"/>
        </w:rPr>
      </w:pPr>
      <w:r>
        <w:rPr>
          <w:rFonts w:ascii="SimSun" w:hAnsi="SimSun" w:eastAsia="SimSun" w:cs="SimSun"/>
          <w:sz w:val="17"/>
          <w:szCs w:val="17"/>
          <w:color w:val="333333"/>
          <w:spacing w:val="-1"/>
        </w:rPr>
        <w:t>（四）《规划纲要》主要内容。</w:t>
      </w:r>
    </w:p>
    <w:p>
      <w:pPr>
        <w:ind w:firstLine="1389"/>
        <w:spacing w:before="301" w:line="187" w:lineRule="auto"/>
        <w:rPr>
          <w:rFonts w:ascii="SimSun" w:hAnsi="SimSun" w:eastAsia="SimSun" w:cs="SimSun"/>
          <w:sz w:val="17"/>
          <w:szCs w:val="17"/>
        </w:rPr>
      </w:pPr>
      <w:r>
        <w:rPr>
          <w:rFonts w:ascii="SimSun" w:hAnsi="SimSun" w:eastAsia="SimSun" w:cs="SimSun"/>
          <w:sz w:val="17"/>
          <w:szCs w:val="17"/>
          <w:color w:val="333333"/>
        </w:rPr>
        <w:t>此次发布的《规划纲要》共由四大部分组成。</w:t>
      </w:r>
    </w:p>
    <w:p>
      <w:pPr>
        <w:ind w:left="1058" w:right="1016" w:firstLine="331"/>
        <w:spacing w:before="302" w:line="327" w:lineRule="auto"/>
        <w:rPr>
          <w:rFonts w:ascii="SimSun" w:hAnsi="SimSun" w:eastAsia="SimSun" w:cs="SimSun"/>
          <w:sz w:val="17"/>
          <w:szCs w:val="17"/>
        </w:rPr>
      </w:pPr>
      <w:r>
        <w:rPr>
          <w:rFonts w:ascii="SimSun" w:hAnsi="SimSun" w:eastAsia="SimSun" w:cs="SimSun"/>
          <w:sz w:val="17"/>
          <w:szCs w:val="17"/>
          <w:color w:val="333333"/>
          <w:spacing w:val="2"/>
        </w:rPr>
        <w:t>第一部分为面临的形势与挑战，对“十三五”时期会计改革与发展进行回顾，深入分析了“十四五”时期会计改革与发展面临</w:t>
      </w:r>
      <w:r>
        <w:rPr>
          <w:rFonts w:ascii="SimSun" w:hAnsi="SimSun" w:eastAsia="SimSun" w:cs="SimSun"/>
          <w:sz w:val="17"/>
          <w:szCs w:val="17"/>
          <w:color w:val="333333"/>
          <w:spacing w:val="33"/>
        </w:rPr>
        <w:t> </w:t>
      </w:r>
      <w:r>
        <w:rPr>
          <w:rFonts w:ascii="SimSun" w:hAnsi="SimSun" w:eastAsia="SimSun" w:cs="SimSun"/>
          <w:sz w:val="17"/>
          <w:szCs w:val="17"/>
          <w:color w:val="333333"/>
          <w:spacing w:val="-4"/>
        </w:rPr>
        <w:t>的形势与挑战。</w:t>
      </w:r>
    </w:p>
    <w:p>
      <w:pPr>
        <w:ind w:firstLine="1388"/>
        <w:spacing w:before="172" w:line="187" w:lineRule="auto"/>
        <w:rPr>
          <w:rFonts w:ascii="SimSun" w:hAnsi="SimSun" w:eastAsia="SimSun" w:cs="SimSun"/>
          <w:sz w:val="17"/>
          <w:szCs w:val="17"/>
        </w:rPr>
      </w:pPr>
      <w:r>
        <w:rPr>
          <w:rFonts w:ascii="SimSun" w:hAnsi="SimSun" w:eastAsia="SimSun" w:cs="SimSun"/>
          <w:sz w:val="17"/>
          <w:szCs w:val="17"/>
          <w:color w:val="333333"/>
          <w:spacing w:val="1"/>
        </w:rPr>
        <w:t>第二部分为总体要求，提出了“十四五”时期会计改革与发展的指导思想、基本原则和总体目标。</w:t>
      </w:r>
    </w:p>
    <w:p>
      <w:pPr>
        <w:ind w:left="1043" w:right="1016" w:firstLine="335"/>
        <w:spacing w:before="302" w:line="327" w:lineRule="auto"/>
        <w:rPr>
          <w:rFonts w:ascii="SimSun" w:hAnsi="SimSun" w:eastAsia="SimSun" w:cs="SimSun"/>
          <w:sz w:val="17"/>
          <w:szCs w:val="17"/>
        </w:rPr>
      </w:pPr>
      <w:r>
        <w:rPr>
          <w:rFonts w:ascii="SimSun" w:hAnsi="SimSun" w:eastAsia="SimSun" w:cs="SimSun"/>
          <w:sz w:val="17"/>
          <w:szCs w:val="17"/>
          <w:color w:val="333333"/>
        </w:rPr>
        <w:t>“十四五”时期会计改革与发展的指导思想是：</w:t>
      </w:r>
      <w:r>
        <w:rPr>
          <w:rFonts w:ascii="SimSun" w:hAnsi="SimSun" w:eastAsia="SimSun" w:cs="SimSun"/>
          <w:sz w:val="17"/>
          <w:szCs w:val="17"/>
          <w:color w:val="333333"/>
          <w:spacing w:val="69"/>
        </w:rPr>
        <w:t> </w:t>
      </w:r>
      <w:r>
        <w:rPr>
          <w:rFonts w:ascii="SimSun" w:hAnsi="SimSun" w:eastAsia="SimSun" w:cs="SimSun"/>
          <w:sz w:val="17"/>
          <w:szCs w:val="17"/>
          <w:color w:val="333333"/>
        </w:rPr>
        <w:t>深入学习贯彻习近平新时代中国特色社会主义思想和党的十九大以及十九届二</w:t>
      </w:r>
      <w:r>
        <w:rPr>
          <w:rFonts w:ascii="SimSun" w:hAnsi="SimSun" w:eastAsia="SimSun" w:cs="SimSun"/>
          <w:sz w:val="17"/>
          <w:szCs w:val="17"/>
          <w:color w:val="333333"/>
        </w:rPr>
        <w:t> </w:t>
      </w:r>
      <w:r>
        <w:rPr>
          <w:rFonts w:ascii="SimSun" w:hAnsi="SimSun" w:eastAsia="SimSun" w:cs="SimSun"/>
          <w:sz w:val="17"/>
          <w:szCs w:val="17"/>
          <w:color w:val="333333"/>
          <w:spacing w:val="1"/>
        </w:rPr>
        <w:t>中、三中、四中、五中、六中全会精神，增强“四个意识”</w:t>
      </w:r>
      <w:r>
        <w:rPr>
          <w:rFonts w:ascii="SimSun" w:hAnsi="SimSun" w:eastAsia="SimSun" w:cs="SimSun"/>
          <w:sz w:val="17"/>
          <w:szCs w:val="17"/>
          <w:color w:val="333333"/>
          <w:spacing w:val="-34"/>
        </w:rPr>
        <w:t> </w:t>
      </w:r>
      <w:r>
        <w:rPr>
          <w:rFonts w:ascii="SimSun" w:hAnsi="SimSun" w:eastAsia="SimSun" w:cs="SimSun"/>
          <w:sz w:val="17"/>
          <w:szCs w:val="17"/>
          <w:color w:val="333333"/>
          <w:spacing w:val="1"/>
        </w:rPr>
        <w:t>、坚定“四个自信”</w:t>
      </w:r>
      <w:r>
        <w:rPr>
          <w:rFonts w:ascii="SimSun" w:hAnsi="SimSun" w:eastAsia="SimSun" w:cs="SimSun"/>
          <w:sz w:val="17"/>
          <w:szCs w:val="17"/>
          <w:color w:val="333333"/>
          <w:spacing w:val="-66"/>
        </w:rPr>
        <w:t> </w:t>
      </w:r>
      <w:r>
        <w:rPr>
          <w:rFonts w:ascii="SimSun" w:hAnsi="SimSun" w:eastAsia="SimSun" w:cs="SimSun"/>
          <w:sz w:val="17"/>
          <w:szCs w:val="17"/>
          <w:color w:val="333333"/>
          <w:spacing w:val="1"/>
        </w:rPr>
        <w:t>、做到“两个维护”</w:t>
      </w:r>
      <w:r>
        <w:rPr>
          <w:rFonts w:ascii="SimSun" w:hAnsi="SimSun" w:eastAsia="SimSun" w:cs="SimSun"/>
          <w:sz w:val="17"/>
          <w:szCs w:val="17"/>
          <w:color w:val="333333"/>
          <w:spacing w:val="-63"/>
        </w:rPr>
        <w:t> </w:t>
      </w:r>
      <w:r>
        <w:rPr>
          <w:rFonts w:ascii="SimSun" w:hAnsi="SimSun" w:eastAsia="SimSun" w:cs="SimSun"/>
          <w:sz w:val="17"/>
          <w:szCs w:val="17"/>
          <w:color w:val="333333"/>
          <w:spacing w:val="1"/>
        </w:rPr>
        <w:t>，紧紧围绕服务经济社会发展</w:t>
      </w:r>
      <w:r>
        <w:rPr>
          <w:rFonts w:ascii="SimSun" w:hAnsi="SimSun" w:eastAsia="SimSun" w:cs="SimSun"/>
          <w:sz w:val="17"/>
          <w:szCs w:val="17"/>
          <w:color w:val="333333"/>
        </w:rPr>
        <w:t> </w:t>
      </w:r>
      <w:r>
        <w:rPr>
          <w:rFonts w:ascii="SimSun" w:hAnsi="SimSun" w:eastAsia="SimSun" w:cs="SimSun"/>
          <w:sz w:val="17"/>
          <w:szCs w:val="17"/>
          <w:color w:val="333333"/>
          <w:spacing w:val="2"/>
        </w:rPr>
        <w:t>大局和财政管理工作全局，立足新发展阶段、贯彻新发展理念、构建新发展格局，以推动高质量发展为主题，以深化供给侧结构性</w:t>
      </w:r>
      <w:r>
        <w:rPr>
          <w:rFonts w:ascii="SimSun" w:hAnsi="SimSun" w:eastAsia="SimSun" w:cs="SimSun"/>
          <w:sz w:val="17"/>
          <w:szCs w:val="17"/>
          <w:color w:val="333333"/>
          <w:spacing w:val="35"/>
        </w:rPr>
        <w:t> </w:t>
      </w:r>
      <w:r>
        <w:rPr>
          <w:rFonts w:ascii="SimSun" w:hAnsi="SimSun" w:eastAsia="SimSun" w:cs="SimSun"/>
          <w:sz w:val="17"/>
          <w:szCs w:val="17"/>
          <w:color w:val="333333"/>
          <w:spacing w:val="2"/>
        </w:rPr>
        <w:t>改革为主线，以改革创新为根本动力，以维护市场经济秩序和公众利益为根本目的，统筹国内国际两个大局，牢牢把握会计审计标</w:t>
      </w:r>
      <w:r>
        <w:rPr>
          <w:rFonts w:ascii="SimSun" w:hAnsi="SimSun" w:eastAsia="SimSun" w:cs="SimSun"/>
          <w:sz w:val="17"/>
          <w:szCs w:val="17"/>
          <w:color w:val="333333"/>
          <w:spacing w:val="35"/>
        </w:rPr>
        <w:t> </w:t>
      </w:r>
      <w:r>
        <w:rPr>
          <w:rFonts w:ascii="SimSun" w:hAnsi="SimSun" w:eastAsia="SimSun" w:cs="SimSun"/>
          <w:sz w:val="17"/>
          <w:szCs w:val="17"/>
          <w:color w:val="333333"/>
          <w:spacing w:val="1"/>
        </w:rPr>
        <w:t>准制定和实施“两个重点”</w:t>
      </w:r>
      <w:r>
        <w:rPr>
          <w:rFonts w:ascii="SimSun" w:hAnsi="SimSun" w:eastAsia="SimSun" w:cs="SimSun"/>
          <w:sz w:val="17"/>
          <w:szCs w:val="17"/>
          <w:color w:val="333333"/>
          <w:spacing w:val="-32"/>
        </w:rPr>
        <w:t> </w:t>
      </w:r>
      <w:r>
        <w:rPr>
          <w:rFonts w:ascii="SimSun" w:hAnsi="SimSun" w:eastAsia="SimSun" w:cs="SimSun"/>
          <w:sz w:val="17"/>
          <w:szCs w:val="17"/>
          <w:color w:val="333333"/>
          <w:spacing w:val="1"/>
        </w:rPr>
        <w:t>、切实抓好行业和人才队伍“两个管理”</w:t>
      </w:r>
      <w:r>
        <w:rPr>
          <w:rFonts w:ascii="SimSun" w:hAnsi="SimSun" w:eastAsia="SimSun" w:cs="SimSun"/>
          <w:sz w:val="17"/>
          <w:szCs w:val="17"/>
          <w:color w:val="333333"/>
          <w:spacing w:val="-65"/>
        </w:rPr>
        <w:t> </w:t>
      </w:r>
      <w:r>
        <w:rPr>
          <w:rFonts w:ascii="SimSun" w:hAnsi="SimSun" w:eastAsia="SimSun" w:cs="SimSun"/>
          <w:sz w:val="17"/>
          <w:szCs w:val="17"/>
          <w:color w:val="333333"/>
          <w:spacing w:val="1"/>
        </w:rPr>
        <w:t>、持续强化法治化和数字化“两个支撑”</w:t>
      </w:r>
      <w:r>
        <w:rPr>
          <w:rFonts w:ascii="SimSun" w:hAnsi="SimSun" w:eastAsia="SimSun" w:cs="SimSun"/>
          <w:sz w:val="17"/>
          <w:szCs w:val="17"/>
          <w:color w:val="333333"/>
          <w:spacing w:val="-66"/>
        </w:rPr>
        <w:t> </w:t>
      </w:r>
      <w:r>
        <w:rPr>
          <w:rFonts w:ascii="SimSun" w:hAnsi="SimSun" w:eastAsia="SimSun" w:cs="SimSun"/>
          <w:sz w:val="17"/>
          <w:szCs w:val="17"/>
          <w:color w:val="333333"/>
          <w:spacing w:val="1"/>
        </w:rPr>
        <w:t>、努力实现会计职能</w:t>
      </w:r>
      <w:r>
        <w:rPr>
          <w:rFonts w:ascii="SimSun" w:hAnsi="SimSun" w:eastAsia="SimSun" w:cs="SimSun"/>
          <w:sz w:val="17"/>
          <w:szCs w:val="17"/>
          <w:color w:val="333333"/>
        </w:rPr>
        <w:t> </w:t>
      </w:r>
      <w:r>
        <w:rPr>
          <w:rFonts w:ascii="SimSun" w:hAnsi="SimSun" w:eastAsia="SimSun" w:cs="SimSun"/>
          <w:sz w:val="17"/>
          <w:szCs w:val="17"/>
          <w:color w:val="333333"/>
          <w:spacing w:val="2"/>
        </w:rPr>
        <w:t>对内对外“两个拓展”</w:t>
      </w:r>
      <w:r>
        <w:rPr>
          <w:rFonts w:ascii="SimSun" w:hAnsi="SimSun" w:eastAsia="SimSun" w:cs="SimSun"/>
          <w:sz w:val="17"/>
          <w:szCs w:val="17"/>
          <w:color w:val="333333"/>
          <w:spacing w:val="-50"/>
        </w:rPr>
        <w:t> </w:t>
      </w:r>
      <w:r>
        <w:rPr>
          <w:rFonts w:ascii="SimSun" w:hAnsi="SimSun" w:eastAsia="SimSun" w:cs="SimSun"/>
          <w:sz w:val="17"/>
          <w:szCs w:val="17"/>
          <w:color w:val="333333"/>
          <w:spacing w:val="2"/>
        </w:rPr>
        <w:t>，积极推动我国会计事业取得新成绩、实现新跨越，为推进国家治理体系和治理能力现代化，实现社会主义</w:t>
      </w:r>
      <w:r>
        <w:rPr>
          <w:rFonts w:ascii="SimSun" w:hAnsi="SimSun" w:eastAsia="SimSun" w:cs="SimSun"/>
          <w:sz w:val="17"/>
          <w:szCs w:val="17"/>
          <w:color w:val="333333"/>
        </w:rPr>
        <w:t> </w:t>
      </w:r>
      <w:r>
        <w:rPr>
          <w:rFonts w:ascii="SimSun" w:hAnsi="SimSun" w:eastAsia="SimSun" w:cs="SimSun"/>
          <w:sz w:val="17"/>
          <w:szCs w:val="17"/>
          <w:color w:val="333333"/>
        </w:rPr>
        <w:t>现代化和第二个百年奋斗目标作出新的更大贡献。</w:t>
      </w:r>
    </w:p>
    <w:p>
      <w:pPr>
        <w:spacing w:line="393" w:lineRule="auto"/>
        <w:rPr>
          <w:rFonts w:ascii="SimSun"/>
          <w:sz w:val="21"/>
        </w:rPr>
      </w:pPr>
      <w:r/>
    </w:p>
    <w:p>
      <w:pPr>
        <w:ind w:firstLine="539"/>
        <w:spacing w:before="46" w:line="219" w:lineRule="exact"/>
        <w:rPr>
          <w:rFonts w:ascii="Arial" w:hAnsi="Arial" w:eastAsia="Arial" w:cs="Arial"/>
          <w:sz w:val="16"/>
          <w:szCs w:val="16"/>
        </w:rPr>
      </w:pPr>
      <w:r>
        <w:rPr>
          <w:rFonts w:ascii="Arial" w:hAnsi="Arial" w:eastAsia="Arial" w:cs="Arial"/>
          <w:sz w:val="16"/>
          <w:szCs w:val="16"/>
          <w:spacing w:val="-1"/>
        </w:rPr>
        <w:t>kjs.mof.gov.cn/zhengcejiedu/202112/t20211209_3773413.htm</w:t>
      </w:r>
      <w:r>
        <w:rPr>
          <w:rFonts w:ascii="Arial" w:hAnsi="Arial" w:eastAsia="Arial" w:cs="Arial"/>
          <w:sz w:val="16"/>
          <w:szCs w:val="16"/>
        </w:rPr>
        <w:t>                                                                                                                                            </w:t>
      </w:r>
      <w:r>
        <w:rPr>
          <w:rFonts w:ascii="Arial" w:hAnsi="Arial" w:eastAsia="Arial" w:cs="Arial"/>
          <w:sz w:val="16"/>
          <w:szCs w:val="16"/>
          <w:spacing w:val="-1"/>
        </w:rPr>
        <w:t>3/5</w:t>
      </w:r>
    </w:p>
    <w:p>
      <w:pPr>
        <w:sectPr>
          <w:pgSz w:w="11900" w:h="16839"/>
          <w:pgMar w:top="0" w:right="0" w:bottom="0" w:left="0" w:header="0" w:footer="0" w:gutter="0"/>
        </w:sectPr>
        <w:rPr/>
      </w:pPr>
    </w:p>
    <w:p>
      <w:pPr>
        <w:ind w:firstLine="533"/>
        <w:spacing w:line="204" w:lineRule="auto"/>
        <w:rPr>
          <w:rFonts w:ascii="Microsoft YaHei" w:hAnsi="Microsoft YaHei" w:eastAsia="Microsoft YaHei" w:cs="Microsoft YaHei"/>
          <w:sz w:val="16"/>
          <w:szCs w:val="16"/>
        </w:rPr>
      </w:pPr>
      <w:r>
        <w:rPr>
          <w:rFonts w:ascii="Arial" w:hAnsi="Arial" w:eastAsia="Arial" w:cs="Arial"/>
          <w:sz w:val="16"/>
          <w:szCs w:val="16"/>
          <w:spacing w:val="-2"/>
          <w:position w:val="1"/>
        </w:rPr>
        <w:t>2022/4/27</w:t>
      </w:r>
      <w:r>
        <w:rPr>
          <w:rFonts w:ascii="Arial" w:hAnsi="Arial" w:eastAsia="Arial" w:cs="Arial"/>
          <w:sz w:val="16"/>
          <w:szCs w:val="16"/>
          <w:spacing w:val="1"/>
          <w:position w:val="1"/>
        </w:rPr>
        <w:t>                             </w:t>
      </w:r>
      <w:r>
        <w:rPr>
          <w:rFonts w:ascii="Microsoft YaHei" w:hAnsi="Microsoft YaHei" w:eastAsia="Microsoft YaHei" w:cs="Microsoft YaHei"/>
          <w:sz w:val="16"/>
          <w:szCs w:val="16"/>
          <w:spacing w:val="-2"/>
        </w:rPr>
        <w:t>推动变革融合</w:t>
      </w:r>
      <w:r>
        <w:rPr>
          <w:rFonts w:ascii="Microsoft YaHei" w:hAnsi="Microsoft YaHei" w:eastAsia="Microsoft YaHei" w:cs="Microsoft YaHei"/>
          <w:sz w:val="16"/>
          <w:szCs w:val="16"/>
          <w:spacing w:val="8"/>
          <w:w w:val="101"/>
        </w:rPr>
        <w:t>   </w:t>
      </w:r>
      <w:r>
        <w:rPr>
          <w:rFonts w:ascii="Microsoft YaHei" w:hAnsi="Microsoft YaHei" w:eastAsia="Microsoft YaHei" w:cs="Microsoft YaHei"/>
          <w:sz w:val="16"/>
          <w:szCs w:val="16"/>
          <w:spacing w:val="-2"/>
        </w:rPr>
        <w:t>实现提质增效</w:t>
      </w:r>
      <w:r>
        <w:rPr>
          <w:rFonts w:ascii="Microsoft YaHei" w:hAnsi="Microsoft YaHei" w:eastAsia="Microsoft YaHei" w:cs="Microsoft YaHei"/>
          <w:sz w:val="16"/>
          <w:szCs w:val="16"/>
        </w:rPr>
        <w:t> </w:t>
      </w:r>
      <w:r>
        <w:rPr>
          <w:rFonts w:ascii="Microsoft YaHei" w:hAnsi="Microsoft YaHei" w:eastAsia="Microsoft YaHei" w:cs="Microsoft YaHei"/>
          <w:sz w:val="16"/>
          <w:szCs w:val="16"/>
          <w:spacing w:val="-2"/>
        </w:rPr>
        <w:t>合力推动会计事业再上新台阶</w:t>
      </w:r>
      <w:r>
        <w:rPr>
          <w:rFonts w:ascii="Arial" w:hAnsi="Arial" w:eastAsia="Arial" w:cs="Arial"/>
          <w:sz w:val="16"/>
          <w:szCs w:val="16"/>
          <w:spacing w:val="-2"/>
        </w:rPr>
        <w:t>——</w:t>
      </w:r>
      <w:r>
        <w:rPr>
          <w:rFonts w:ascii="Arial" w:hAnsi="Arial" w:eastAsia="Arial" w:cs="Arial"/>
          <w:sz w:val="16"/>
          <w:szCs w:val="16"/>
          <w:spacing w:val="34"/>
        </w:rPr>
        <w:t> </w:t>
      </w:r>
      <w:r>
        <w:rPr>
          <w:rFonts w:ascii="Microsoft YaHei" w:hAnsi="Microsoft YaHei" w:eastAsia="Microsoft YaHei" w:cs="Microsoft YaHei"/>
          <w:sz w:val="16"/>
          <w:szCs w:val="16"/>
          <w:spacing w:val="-2"/>
        </w:rPr>
        <w:t>《会计改革与发展</w:t>
      </w:r>
      <w:r>
        <w:rPr>
          <w:rFonts w:ascii="Arial" w:hAnsi="Arial" w:eastAsia="Arial" w:cs="Arial"/>
          <w:sz w:val="16"/>
          <w:szCs w:val="16"/>
          <w:spacing w:val="-2"/>
        </w:rPr>
        <w:t>“</w:t>
      </w:r>
      <w:r>
        <w:rPr>
          <w:rFonts w:ascii="Microsoft YaHei" w:hAnsi="Microsoft YaHei" w:eastAsia="Microsoft YaHei" w:cs="Microsoft YaHei"/>
          <w:sz w:val="16"/>
          <w:szCs w:val="16"/>
          <w:spacing w:val="-2"/>
        </w:rPr>
        <w:t>十四五</w:t>
      </w:r>
      <w:r>
        <w:rPr>
          <w:rFonts w:ascii="Arial" w:hAnsi="Arial" w:eastAsia="Arial" w:cs="Arial"/>
          <w:sz w:val="16"/>
          <w:szCs w:val="16"/>
          <w:spacing w:val="-2"/>
        </w:rPr>
        <w:t>”</w:t>
      </w:r>
      <w:r>
        <w:rPr>
          <w:rFonts w:ascii="Microsoft YaHei" w:hAnsi="Microsoft YaHei" w:eastAsia="Microsoft YaHei" w:cs="Microsoft YaHei"/>
          <w:sz w:val="16"/>
          <w:szCs w:val="16"/>
          <w:spacing w:val="-2"/>
        </w:rPr>
        <w:t>规划纲要》系列解读之一</w:t>
      </w:r>
    </w:p>
    <w:p>
      <w:pPr>
        <w:ind w:firstLine="1384"/>
        <w:spacing w:before="119" w:line="187" w:lineRule="auto"/>
        <w:rPr>
          <w:rFonts w:ascii="SimSun" w:hAnsi="SimSun" w:eastAsia="SimSun" w:cs="SimSun"/>
          <w:sz w:val="17"/>
          <w:szCs w:val="17"/>
        </w:rPr>
      </w:pPr>
      <w:r>
        <w:rPr>
          <w:rFonts w:ascii="SimSun" w:hAnsi="SimSun" w:eastAsia="SimSun" w:cs="SimSun"/>
          <w:sz w:val="17"/>
          <w:szCs w:val="17"/>
          <w:color w:val="333333"/>
          <w:spacing w:val="3"/>
        </w:rPr>
        <w:t>“十四五”时期会计改革与发展的基本原则是：</w:t>
      </w:r>
      <w:r>
        <w:rPr>
          <w:rFonts w:ascii="SimSun" w:hAnsi="SimSun" w:eastAsia="SimSun" w:cs="SimSun"/>
          <w:sz w:val="17"/>
          <w:szCs w:val="17"/>
          <w:color w:val="333333"/>
          <w:spacing w:val="70"/>
          <w:w w:val="101"/>
        </w:rPr>
        <w:t> </w:t>
      </w:r>
      <w:r>
        <w:rPr>
          <w:rFonts w:ascii="SimSun" w:hAnsi="SimSun" w:eastAsia="SimSun" w:cs="SimSun"/>
          <w:sz w:val="17"/>
          <w:szCs w:val="17"/>
          <w:color w:val="333333"/>
          <w:spacing w:val="3"/>
        </w:rPr>
        <w:t>坚持党的领导，坚持依法治理，坚持创新变革，坚持融合发展，坚持开放包</w:t>
      </w:r>
    </w:p>
    <w:p>
      <w:pPr>
        <w:ind w:firstLine="1046"/>
        <w:spacing w:before="129" w:line="187" w:lineRule="auto"/>
        <w:rPr>
          <w:rFonts w:ascii="SimSun" w:hAnsi="SimSun" w:eastAsia="SimSun" w:cs="SimSun"/>
          <w:sz w:val="17"/>
          <w:szCs w:val="17"/>
        </w:rPr>
      </w:pPr>
      <w:r>
        <w:rPr>
          <w:rFonts w:ascii="SimSun" w:hAnsi="SimSun" w:eastAsia="SimSun" w:cs="SimSun"/>
          <w:sz w:val="17"/>
          <w:szCs w:val="17"/>
          <w:color w:val="333333"/>
          <w:spacing w:val="1"/>
        </w:rPr>
        <w:t>容。围绕“十四五”时期会计改革与发展，</w:t>
      </w:r>
      <w:r>
        <w:rPr>
          <w:rFonts w:ascii="SimSun" w:hAnsi="SimSun" w:eastAsia="SimSun" w:cs="SimSun"/>
          <w:sz w:val="17"/>
          <w:szCs w:val="17"/>
          <w:color w:val="333333"/>
          <w:spacing w:val="-81"/>
        </w:rPr>
        <w:t> </w:t>
      </w:r>
      <w:r>
        <w:rPr>
          <w:rFonts w:ascii="SimSun" w:hAnsi="SimSun" w:eastAsia="SimSun" w:cs="SimSun"/>
          <w:sz w:val="17"/>
          <w:szCs w:val="17"/>
          <w:color w:val="333333"/>
          <w:spacing w:val="1"/>
        </w:rPr>
        <w:t>《规划纲要》</w:t>
      </w:r>
      <w:r>
        <w:rPr>
          <w:rFonts w:ascii="SimSun" w:hAnsi="SimSun" w:eastAsia="SimSun" w:cs="SimSun"/>
          <w:sz w:val="17"/>
          <w:szCs w:val="17"/>
          <w:color w:val="333333"/>
        </w:rPr>
        <w:t> </w:t>
      </w:r>
      <w:r>
        <w:rPr>
          <w:rFonts w:ascii="SimSun" w:hAnsi="SimSun" w:eastAsia="SimSun" w:cs="SimSun"/>
          <w:sz w:val="17"/>
          <w:szCs w:val="17"/>
          <w:color w:val="333333"/>
          <w:spacing w:val="1"/>
        </w:rPr>
        <w:t>提出了“主动适应我国经济社会发展客观需要，会计审计标准体系建设得</w:t>
      </w:r>
    </w:p>
    <w:p>
      <w:pPr>
        <w:ind w:firstLine="1048"/>
        <w:spacing w:before="129" w:line="187" w:lineRule="auto"/>
        <w:rPr>
          <w:rFonts w:ascii="SimSun" w:hAnsi="SimSun" w:eastAsia="SimSun" w:cs="SimSun"/>
          <w:sz w:val="17"/>
          <w:szCs w:val="17"/>
        </w:rPr>
      </w:pPr>
      <w:r>
        <w:rPr>
          <w:rFonts w:ascii="SimSun" w:hAnsi="SimSun" w:eastAsia="SimSun" w:cs="SimSun"/>
          <w:sz w:val="17"/>
          <w:szCs w:val="17"/>
          <w:color w:val="333333"/>
          <w:spacing w:val="2"/>
        </w:rPr>
        <w:t>到持续加强，会计审计业发展取得显著成效，会计人员素质得到全面提升，会计法治化、数字化进程取得实质性成果，会计基础性</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2"/>
        </w:rPr>
        <w:t>服务功能得到充分发挥，以实现更高质量、更加公平、更可持续的发展，更好服务我国经济社会发展大局和财政管理工作全局”的</w:t>
      </w:r>
    </w:p>
    <w:p>
      <w:pPr>
        <w:ind w:firstLine="1048"/>
        <w:spacing w:before="129" w:line="187" w:lineRule="auto"/>
        <w:rPr>
          <w:rFonts w:ascii="SimSun" w:hAnsi="SimSun" w:eastAsia="SimSun" w:cs="SimSun"/>
          <w:sz w:val="17"/>
          <w:szCs w:val="17"/>
        </w:rPr>
      </w:pPr>
      <w:r>
        <w:rPr>
          <w:rFonts w:ascii="SimSun" w:hAnsi="SimSun" w:eastAsia="SimSun" w:cs="SimSun"/>
          <w:sz w:val="17"/>
          <w:szCs w:val="17"/>
          <w:color w:val="333333"/>
          <w:spacing w:val="2"/>
        </w:rPr>
        <w:t>总体目标，并明确了会计审计标准更加科学、会计审计业实现高质量发展、人才队伍结构持续优化、会计法治更具约束刚性、会计</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rPr>
        <w:t>职能实现拓展升级等五方面具体目标。</w:t>
      </w:r>
    </w:p>
    <w:p>
      <w:pPr>
        <w:ind w:firstLine="1389"/>
        <w:spacing w:before="301" w:line="187" w:lineRule="auto"/>
        <w:rPr>
          <w:rFonts w:ascii="SimSun" w:hAnsi="SimSun" w:eastAsia="SimSun" w:cs="SimSun"/>
          <w:sz w:val="17"/>
          <w:szCs w:val="17"/>
        </w:rPr>
      </w:pPr>
      <w:r>
        <w:rPr>
          <w:rFonts w:ascii="SimSun" w:hAnsi="SimSun" w:eastAsia="SimSun" w:cs="SimSun"/>
          <w:sz w:val="17"/>
          <w:szCs w:val="17"/>
          <w:color w:val="333333"/>
          <w:spacing w:val="2"/>
        </w:rPr>
        <w:t>第三部分为主要任务，围绕总体目标，提出了会计审计标准体系高质量建设与实施、会计审计业高质量发展、高水平会计人才</w:t>
      </w:r>
    </w:p>
    <w:p>
      <w:pPr>
        <w:ind w:firstLine="1057"/>
        <w:spacing w:before="129" w:line="187" w:lineRule="auto"/>
        <w:rPr>
          <w:rFonts w:ascii="SimSun" w:hAnsi="SimSun" w:eastAsia="SimSun" w:cs="SimSun"/>
          <w:sz w:val="17"/>
          <w:szCs w:val="17"/>
        </w:rPr>
      </w:pPr>
      <w:r>
        <w:rPr>
          <w:rFonts w:ascii="SimSun" w:hAnsi="SimSun" w:eastAsia="SimSun" w:cs="SimSun"/>
          <w:sz w:val="17"/>
          <w:szCs w:val="17"/>
          <w:color w:val="333333"/>
          <w:spacing w:val="3"/>
        </w:rPr>
        <w:t>队伍建设、会计法治建设、会计审计数字化转型、会计职能拓展、会计国际治理、会计理论和实务研究等8个领域、27个方面，共</w:t>
      </w:r>
    </w:p>
    <w:p>
      <w:pPr>
        <w:ind w:firstLine="1056"/>
        <w:spacing w:before="129" w:line="187" w:lineRule="auto"/>
        <w:rPr>
          <w:rFonts w:ascii="SimSun" w:hAnsi="SimSun" w:eastAsia="SimSun" w:cs="SimSun"/>
          <w:sz w:val="17"/>
          <w:szCs w:val="17"/>
        </w:rPr>
      </w:pPr>
      <w:r>
        <w:rPr>
          <w:rFonts w:ascii="SimSun" w:hAnsi="SimSun" w:eastAsia="SimSun" w:cs="SimSun"/>
          <w:sz w:val="17"/>
          <w:szCs w:val="17"/>
          <w:color w:val="333333"/>
          <w:spacing w:val="3"/>
        </w:rPr>
        <w:t>126项具体措施。一是持续推动会计审计标准体系高质量建设与实施，包括持续完善企业会计准则体系的建设与实施、继续深化政</w:t>
      </w:r>
    </w:p>
    <w:p>
      <w:pPr>
        <w:ind w:firstLine="1043"/>
        <w:spacing w:before="129" w:line="187" w:lineRule="auto"/>
        <w:rPr>
          <w:rFonts w:ascii="SimSun" w:hAnsi="SimSun" w:eastAsia="SimSun" w:cs="SimSun"/>
          <w:sz w:val="17"/>
          <w:szCs w:val="17"/>
        </w:rPr>
      </w:pPr>
      <w:r>
        <w:rPr>
          <w:rFonts w:ascii="SimSun" w:hAnsi="SimSun" w:eastAsia="SimSun" w:cs="SimSun"/>
          <w:sz w:val="17"/>
          <w:szCs w:val="17"/>
          <w:color w:val="333333"/>
          <w:spacing w:val="2"/>
        </w:rPr>
        <w:t>府及非营利组织会计改革、不断完善和有效实施注册会计师职业准则体系等三个方面28项具体措施。二是全面推动会计审计业高质</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2"/>
        </w:rPr>
        <w:t>量发展，包括依法整治行业秩序、强化行业日常管理、优化行业执业环境、提升行业服务能力等四个方面23项具体措施。三是培养</w:t>
      </w:r>
    </w:p>
    <w:p>
      <w:pPr>
        <w:ind w:firstLine="1043"/>
        <w:spacing w:before="129" w:line="187" w:lineRule="auto"/>
        <w:rPr>
          <w:rFonts w:ascii="SimSun" w:hAnsi="SimSun" w:eastAsia="SimSun" w:cs="SimSun"/>
          <w:sz w:val="17"/>
          <w:szCs w:val="17"/>
        </w:rPr>
      </w:pPr>
      <w:r>
        <w:rPr>
          <w:rFonts w:ascii="SimSun" w:hAnsi="SimSun" w:eastAsia="SimSun" w:cs="SimSun"/>
          <w:sz w:val="17"/>
          <w:szCs w:val="17"/>
          <w:color w:val="333333"/>
          <w:spacing w:val="2"/>
        </w:rPr>
        <w:t>造就高水平会计人才队伍，包括健全会计人才评价体系、提高会计人员继续教育质量、抓好会计人才培养重大工程、推动学科发展</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5"/>
        </w:rPr>
        <w:t>和学历教育改革、加强会计人才培养基地建设等五个方面21项具体措施。四是全面推进会计法治建设，包括加快完善会计法治体</w:t>
      </w:r>
    </w:p>
    <w:p>
      <w:pPr>
        <w:ind w:firstLine="1047"/>
        <w:spacing w:before="129" w:line="187" w:lineRule="auto"/>
        <w:rPr>
          <w:rFonts w:ascii="SimSun" w:hAnsi="SimSun" w:eastAsia="SimSun" w:cs="SimSun"/>
          <w:sz w:val="17"/>
          <w:szCs w:val="17"/>
        </w:rPr>
      </w:pPr>
      <w:r>
        <w:rPr>
          <w:rFonts w:ascii="SimSun" w:hAnsi="SimSun" w:eastAsia="SimSun" w:cs="SimSun"/>
          <w:sz w:val="17"/>
          <w:szCs w:val="17"/>
          <w:color w:val="333333"/>
          <w:spacing w:val="2"/>
        </w:rPr>
        <w:t>系、切实加强会计执法检查、持续推进会计诚信建设等三个方面10项具体措施。五是切实加快会计审计数字化转型步伐，包括积极</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5"/>
        </w:rPr>
        <w:t>推动会计工作数字化转型、审计工作数字化转型、会计管理工作数字化转型等三个方面17项具体措施。六是大力推动会计职能拓</w:t>
      </w:r>
    </w:p>
    <w:p>
      <w:pPr>
        <w:ind w:firstLine="1045"/>
        <w:spacing w:before="129" w:line="187" w:lineRule="auto"/>
        <w:rPr>
          <w:rFonts w:ascii="SimSun" w:hAnsi="SimSun" w:eastAsia="SimSun" w:cs="SimSun"/>
          <w:sz w:val="17"/>
          <w:szCs w:val="17"/>
        </w:rPr>
      </w:pPr>
      <w:r>
        <w:rPr>
          <w:rFonts w:ascii="SimSun" w:hAnsi="SimSun" w:eastAsia="SimSun" w:cs="SimSun"/>
          <w:sz w:val="17"/>
          <w:szCs w:val="17"/>
          <w:color w:val="333333"/>
          <w:spacing w:val="7"/>
        </w:rPr>
        <w:t>展，包括推动会计职能对内拓展和对外拓展两个方面8项具体措施。七是全面参与会计国际治理，包括深度参与国际会计标准制</w:t>
      </w:r>
    </w:p>
    <w:p>
      <w:pPr>
        <w:ind w:firstLine="1048"/>
        <w:spacing w:before="129" w:line="187" w:lineRule="auto"/>
        <w:rPr>
          <w:rFonts w:ascii="SimSun" w:hAnsi="SimSun" w:eastAsia="SimSun" w:cs="SimSun"/>
          <w:sz w:val="17"/>
          <w:szCs w:val="17"/>
        </w:rPr>
      </w:pPr>
      <w:r>
        <w:rPr>
          <w:rFonts w:ascii="SimSun" w:hAnsi="SimSun" w:eastAsia="SimSun" w:cs="SimSun"/>
          <w:sz w:val="17"/>
          <w:szCs w:val="17"/>
          <w:color w:val="333333"/>
          <w:spacing w:val="2"/>
        </w:rPr>
        <w:t>定、持续深化多边双边会计交流合作、稳妥推进会计服务市场双向开放、研究资本市场开放相关会计审计政策等四个方面15项具体</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1"/>
        </w:rPr>
        <w:t>措施。八是加强会计理论和实务研究，包括组织会计理论攻关、完善理论研究机制和深化国际学术交流等三个方面4项具体措施。</w:t>
      </w:r>
    </w:p>
    <w:p>
      <w:pPr>
        <w:ind w:firstLine="1389"/>
        <w:spacing w:before="301" w:line="187" w:lineRule="auto"/>
        <w:rPr>
          <w:rFonts w:ascii="SimSun" w:hAnsi="SimSun" w:eastAsia="SimSun" w:cs="SimSun"/>
          <w:sz w:val="17"/>
          <w:szCs w:val="17"/>
        </w:rPr>
      </w:pPr>
      <w:r>
        <w:rPr>
          <w:rFonts w:ascii="SimSun" w:hAnsi="SimSun" w:eastAsia="SimSun" w:cs="SimSun"/>
          <w:sz w:val="17"/>
          <w:szCs w:val="17"/>
          <w:color w:val="333333"/>
        </w:rPr>
        <w:t>第四部分为保障措施，就如何做好《规划纲要》</w:t>
      </w:r>
      <w:r>
        <w:rPr>
          <w:rFonts w:ascii="SimSun" w:hAnsi="SimSun" w:eastAsia="SimSun" w:cs="SimSun"/>
          <w:sz w:val="17"/>
          <w:szCs w:val="17"/>
          <w:color w:val="333333"/>
          <w:spacing w:val="58"/>
        </w:rPr>
        <w:t> </w:t>
      </w:r>
      <w:r>
        <w:rPr>
          <w:rFonts w:ascii="SimSun" w:hAnsi="SimSun" w:eastAsia="SimSun" w:cs="SimSun"/>
          <w:sz w:val="17"/>
          <w:szCs w:val="17"/>
          <w:color w:val="333333"/>
        </w:rPr>
        <w:t>的实施工作提出了相关措施，确保各项目标和重点改革任务落到实处，包括加</w:t>
      </w:r>
    </w:p>
    <w:p>
      <w:pPr>
        <w:ind w:firstLine="1048"/>
        <w:spacing w:before="129" w:line="187" w:lineRule="auto"/>
        <w:rPr>
          <w:rFonts w:ascii="SimSun" w:hAnsi="SimSun" w:eastAsia="SimSun" w:cs="SimSun"/>
          <w:sz w:val="17"/>
          <w:szCs w:val="17"/>
        </w:rPr>
      </w:pPr>
      <w:r>
        <w:rPr>
          <w:rFonts w:ascii="SimSun" w:hAnsi="SimSun" w:eastAsia="SimSun" w:cs="SimSun"/>
          <w:sz w:val="17"/>
          <w:szCs w:val="17"/>
          <w:color w:val="333333"/>
          <w:spacing w:val="1"/>
        </w:rPr>
        <w:t>强组织领导、健全会计管理机构、积极营造良好社会氛围、建立健全考核检查机制等四方面内容。</w:t>
      </w:r>
    </w:p>
    <w:p>
      <w:pPr>
        <w:ind w:firstLine="1388"/>
        <w:spacing w:before="302" w:line="187" w:lineRule="auto"/>
        <w:rPr>
          <w:rFonts w:ascii="SimSun" w:hAnsi="SimSun" w:eastAsia="SimSun" w:cs="SimSun"/>
          <w:sz w:val="17"/>
          <w:szCs w:val="17"/>
        </w:rPr>
      </w:pPr>
      <w:r>
        <w:rPr>
          <w:rFonts w:ascii="SimSun" w:hAnsi="SimSun" w:eastAsia="SimSun" w:cs="SimSun"/>
          <w:sz w:val="17"/>
          <w:szCs w:val="17"/>
          <w:color w:val="333333"/>
          <w:spacing w:val="7"/>
        </w:rPr>
        <w:t>三、奋楫笃行，严格落实好《规划纲要》</w:t>
      </w:r>
      <w:r>
        <w:rPr>
          <w:rFonts w:ascii="SimSun" w:hAnsi="SimSun" w:eastAsia="SimSun" w:cs="SimSun"/>
          <w:sz w:val="17"/>
          <w:szCs w:val="17"/>
          <w:color w:val="333333"/>
          <w:spacing w:val="27"/>
        </w:rPr>
        <w:t> </w:t>
      </w:r>
      <w:r>
        <w:rPr>
          <w:rFonts w:ascii="SimSun" w:hAnsi="SimSun" w:eastAsia="SimSun" w:cs="SimSun"/>
          <w:sz w:val="17"/>
          <w:szCs w:val="17"/>
          <w:color w:val="333333"/>
          <w:spacing w:val="7"/>
        </w:rPr>
        <w:t>各项任务</w:t>
      </w:r>
    </w:p>
    <w:p>
      <w:pPr>
        <w:ind w:firstLine="1396"/>
        <w:spacing w:before="301" w:line="187" w:lineRule="auto"/>
        <w:rPr>
          <w:rFonts w:ascii="SimSun" w:hAnsi="SimSun" w:eastAsia="SimSun" w:cs="SimSun"/>
          <w:sz w:val="17"/>
          <w:szCs w:val="17"/>
        </w:rPr>
      </w:pPr>
      <w:r>
        <w:rPr>
          <w:rFonts w:ascii="SimSun" w:hAnsi="SimSun" w:eastAsia="SimSun" w:cs="SimSun"/>
          <w:sz w:val="17"/>
          <w:szCs w:val="17"/>
          <w:color w:val="333333"/>
          <w:spacing w:val="5"/>
        </w:rPr>
        <w:t>规划的生命力在于实施。当前和今后一个时期的重要任务，就是充分调动各方面的积极性、主动性和创造性，形成推动实施</w:t>
      </w:r>
    </w:p>
    <w:p>
      <w:pPr>
        <w:ind w:firstLine="1045"/>
        <w:spacing w:before="129" w:line="187" w:lineRule="auto"/>
        <w:rPr>
          <w:rFonts w:ascii="SimSun" w:hAnsi="SimSun" w:eastAsia="SimSun" w:cs="SimSun"/>
          <w:sz w:val="17"/>
          <w:szCs w:val="17"/>
        </w:rPr>
      </w:pPr>
      <w:r>
        <w:rPr>
          <w:rFonts w:ascii="SimSun" w:hAnsi="SimSun" w:eastAsia="SimSun" w:cs="SimSun"/>
          <w:sz w:val="17"/>
          <w:szCs w:val="17"/>
          <w:color w:val="333333"/>
          <w:spacing w:val="3"/>
        </w:rPr>
        <w:t>《规划纲要》</w:t>
      </w:r>
      <w:r>
        <w:rPr>
          <w:rFonts w:ascii="SimSun" w:hAnsi="SimSun" w:eastAsia="SimSun" w:cs="SimSun"/>
          <w:sz w:val="17"/>
          <w:szCs w:val="17"/>
          <w:color w:val="333333"/>
          <w:spacing w:val="63"/>
          <w:w w:val="101"/>
        </w:rPr>
        <w:t> </w:t>
      </w:r>
      <w:r>
        <w:rPr>
          <w:rFonts w:ascii="SimSun" w:hAnsi="SimSun" w:eastAsia="SimSun" w:cs="SimSun"/>
          <w:sz w:val="17"/>
          <w:szCs w:val="17"/>
          <w:color w:val="333333"/>
          <w:spacing w:val="3"/>
        </w:rPr>
        <w:t>的强大合力，将美好蓝图切实转化为发展实效。全行业要积极行动起来，以踏石留印、抓铁有痕的精神，抓实抓细</w:t>
      </w:r>
    </w:p>
    <w:p>
      <w:pPr>
        <w:ind w:firstLine="1045"/>
        <w:spacing w:before="129" w:line="187" w:lineRule="auto"/>
        <w:rPr>
          <w:rFonts w:ascii="SimSun" w:hAnsi="SimSun" w:eastAsia="SimSun" w:cs="SimSun"/>
          <w:sz w:val="17"/>
          <w:szCs w:val="17"/>
        </w:rPr>
      </w:pPr>
      <w:r>
        <w:rPr>
          <w:rFonts w:ascii="SimSun" w:hAnsi="SimSun" w:eastAsia="SimSun" w:cs="SimSun"/>
          <w:sz w:val="17"/>
          <w:szCs w:val="17"/>
          <w:color w:val="333333"/>
          <w:spacing w:val="-1"/>
        </w:rPr>
        <w:t>《规划纲要》部署的各项任务。</w:t>
      </w:r>
    </w:p>
    <w:p>
      <w:pPr>
        <w:ind w:firstLine="1392"/>
        <w:spacing w:before="301" w:line="187" w:lineRule="auto"/>
        <w:rPr>
          <w:rFonts w:ascii="SimSun" w:hAnsi="SimSun" w:eastAsia="SimSun" w:cs="SimSun"/>
          <w:sz w:val="17"/>
          <w:szCs w:val="17"/>
        </w:rPr>
      </w:pPr>
      <w:r>
        <w:rPr>
          <w:rFonts w:ascii="SimSun" w:hAnsi="SimSun" w:eastAsia="SimSun" w:cs="SimSun"/>
          <w:sz w:val="17"/>
          <w:szCs w:val="17"/>
          <w:color w:val="333333"/>
          <w:spacing w:val="-2"/>
        </w:rPr>
        <w:t>一是加强宣传学习。做好《规划纲要》</w:t>
      </w:r>
      <w:r>
        <w:rPr>
          <w:rFonts w:ascii="SimSun" w:hAnsi="SimSun" w:eastAsia="SimSun" w:cs="SimSun"/>
          <w:sz w:val="17"/>
          <w:szCs w:val="17"/>
          <w:color w:val="333333"/>
          <w:spacing w:val="67"/>
        </w:rPr>
        <w:t> </w:t>
      </w:r>
      <w:r>
        <w:rPr>
          <w:rFonts w:ascii="SimSun" w:hAnsi="SimSun" w:eastAsia="SimSun" w:cs="SimSun"/>
          <w:sz w:val="17"/>
          <w:szCs w:val="17"/>
          <w:color w:val="333333"/>
          <w:spacing w:val="-2"/>
        </w:rPr>
        <w:t>的宣传工作，有利于社会各界关注和理解《规划纲要》</w:t>
      </w:r>
      <w:r>
        <w:rPr>
          <w:rFonts w:ascii="SimSun" w:hAnsi="SimSun" w:eastAsia="SimSun" w:cs="SimSun"/>
          <w:sz w:val="17"/>
          <w:szCs w:val="17"/>
          <w:color w:val="333333"/>
          <w:spacing w:val="13"/>
        </w:rPr>
        <w:t> </w:t>
      </w:r>
      <w:r>
        <w:rPr>
          <w:rFonts w:ascii="SimSun" w:hAnsi="SimSun" w:eastAsia="SimSun" w:cs="SimSun"/>
          <w:sz w:val="17"/>
          <w:szCs w:val="17"/>
          <w:color w:val="333333"/>
          <w:spacing w:val="-2"/>
        </w:rPr>
        <w:t>的各项举措，调动社会各界参与</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rPr>
        <w:t>规划执行的积极性，扩大《规划纲要》</w:t>
      </w:r>
      <w:r>
        <w:rPr>
          <w:rFonts w:ascii="SimSun" w:hAnsi="SimSun" w:eastAsia="SimSun" w:cs="SimSun"/>
          <w:sz w:val="17"/>
          <w:szCs w:val="17"/>
          <w:color w:val="333333"/>
          <w:spacing w:val="61"/>
        </w:rPr>
        <w:t> </w:t>
      </w:r>
      <w:r>
        <w:rPr>
          <w:rFonts w:ascii="SimSun" w:hAnsi="SimSun" w:eastAsia="SimSun" w:cs="SimSun"/>
          <w:sz w:val="17"/>
          <w:szCs w:val="17"/>
          <w:color w:val="333333"/>
        </w:rPr>
        <w:t>的影响。我们将组织开展一系列的宣传活动，包括开展系列专题解读、知识竞赛、征文等，</w:t>
      </w:r>
    </w:p>
    <w:p>
      <w:pPr>
        <w:ind w:firstLine="1046"/>
        <w:spacing w:before="129" w:line="187" w:lineRule="auto"/>
        <w:rPr>
          <w:rFonts w:ascii="SimSun" w:hAnsi="SimSun" w:eastAsia="SimSun" w:cs="SimSun"/>
          <w:sz w:val="17"/>
          <w:szCs w:val="17"/>
        </w:rPr>
      </w:pPr>
      <w:r>
        <w:rPr>
          <w:rFonts w:ascii="SimSun" w:hAnsi="SimSun" w:eastAsia="SimSun" w:cs="SimSun"/>
          <w:sz w:val="17"/>
          <w:szCs w:val="17"/>
          <w:color w:val="333333"/>
          <w:spacing w:val="-1"/>
        </w:rPr>
        <w:t>力求推动全行业积极参与《规划纲要》</w:t>
      </w:r>
      <w:r>
        <w:rPr>
          <w:rFonts w:ascii="SimSun" w:hAnsi="SimSun" w:eastAsia="SimSun" w:cs="SimSun"/>
          <w:sz w:val="17"/>
          <w:szCs w:val="17"/>
          <w:color w:val="333333"/>
          <w:spacing w:val="24"/>
        </w:rPr>
        <w:t> </w:t>
      </w:r>
      <w:r>
        <w:rPr>
          <w:rFonts w:ascii="SimSun" w:hAnsi="SimSun" w:eastAsia="SimSun" w:cs="SimSun"/>
          <w:sz w:val="17"/>
          <w:szCs w:val="17"/>
          <w:color w:val="333333"/>
          <w:spacing w:val="-1"/>
        </w:rPr>
        <w:t>贯彻执行。各级财政部门和中央有关主管单位要高度重视《规划纲要》</w:t>
      </w:r>
      <w:r>
        <w:rPr>
          <w:rFonts w:ascii="SimSun" w:hAnsi="SimSun" w:eastAsia="SimSun" w:cs="SimSun"/>
          <w:sz w:val="17"/>
          <w:szCs w:val="17"/>
          <w:color w:val="333333"/>
          <w:spacing w:val="13"/>
        </w:rPr>
        <w:t> </w:t>
      </w:r>
      <w:r>
        <w:rPr>
          <w:rFonts w:ascii="SimSun" w:hAnsi="SimSun" w:eastAsia="SimSun" w:cs="SimSun"/>
          <w:sz w:val="17"/>
          <w:szCs w:val="17"/>
          <w:color w:val="333333"/>
          <w:spacing w:val="-1"/>
        </w:rPr>
        <w:t>的宣传培训工作，积</w:t>
      </w:r>
    </w:p>
    <w:p>
      <w:pPr>
        <w:ind w:firstLine="1046"/>
        <w:spacing w:before="130" w:line="187" w:lineRule="auto"/>
        <w:rPr>
          <w:rFonts w:ascii="SimSun" w:hAnsi="SimSun" w:eastAsia="SimSun" w:cs="SimSun"/>
          <w:sz w:val="17"/>
          <w:szCs w:val="17"/>
        </w:rPr>
      </w:pPr>
      <w:r>
        <w:rPr>
          <w:rFonts w:ascii="SimSun" w:hAnsi="SimSun" w:eastAsia="SimSun" w:cs="SimSun"/>
          <w:sz w:val="17"/>
          <w:szCs w:val="17"/>
          <w:color w:val="333333"/>
        </w:rPr>
        <w:t>极交流典型经验、做法和成效，并将《规划纲要》</w:t>
      </w:r>
      <w:r>
        <w:rPr>
          <w:rFonts w:ascii="SimSun" w:hAnsi="SimSun" w:eastAsia="SimSun" w:cs="SimSun"/>
          <w:sz w:val="17"/>
          <w:szCs w:val="17"/>
          <w:color w:val="333333"/>
          <w:spacing w:val="61"/>
        </w:rPr>
        <w:t> </w:t>
      </w:r>
      <w:r>
        <w:rPr>
          <w:rFonts w:ascii="SimSun" w:hAnsi="SimSun" w:eastAsia="SimSun" w:cs="SimSun"/>
          <w:sz w:val="17"/>
          <w:szCs w:val="17"/>
          <w:color w:val="333333"/>
        </w:rPr>
        <w:t>的学习纳入到明年的会计人员继续教育内容中，为全面深化会计改革与发展营造</w:t>
      </w:r>
    </w:p>
    <w:p>
      <w:pPr>
        <w:ind w:firstLine="1071"/>
        <w:spacing w:before="129" w:line="187" w:lineRule="auto"/>
        <w:rPr>
          <w:rFonts w:ascii="SimSun" w:hAnsi="SimSun" w:eastAsia="SimSun" w:cs="SimSun"/>
          <w:sz w:val="17"/>
          <w:szCs w:val="17"/>
        </w:rPr>
      </w:pPr>
      <w:r>
        <w:rPr>
          <w:rFonts w:ascii="SimSun" w:hAnsi="SimSun" w:eastAsia="SimSun" w:cs="SimSun"/>
          <w:sz w:val="17"/>
          <w:szCs w:val="17"/>
          <w:color w:val="333333"/>
          <w:spacing w:val="-4"/>
        </w:rPr>
        <w:t>良好氛围和创造有利条件；</w:t>
      </w:r>
      <w:r>
        <w:rPr>
          <w:rFonts w:ascii="SimSun" w:hAnsi="SimSun" w:eastAsia="SimSun" w:cs="SimSun"/>
          <w:sz w:val="17"/>
          <w:szCs w:val="17"/>
          <w:color w:val="333333"/>
          <w:spacing w:val="67"/>
        </w:rPr>
        <w:t> </w:t>
      </w:r>
      <w:r>
        <w:rPr>
          <w:rFonts w:ascii="SimSun" w:hAnsi="SimSun" w:eastAsia="SimSun" w:cs="SimSun"/>
          <w:sz w:val="17"/>
          <w:szCs w:val="17"/>
          <w:color w:val="333333"/>
          <w:spacing w:val="-4"/>
        </w:rPr>
        <w:t>各单位和广大会计人员要积极学习《规划纲要》</w:t>
      </w:r>
      <w:r>
        <w:rPr>
          <w:rFonts w:ascii="SimSun" w:hAnsi="SimSun" w:eastAsia="SimSun" w:cs="SimSun"/>
          <w:sz w:val="17"/>
          <w:szCs w:val="17"/>
          <w:color w:val="333333"/>
          <w:spacing w:val="13"/>
        </w:rPr>
        <w:t> </w:t>
      </w:r>
      <w:r>
        <w:rPr>
          <w:rFonts w:ascii="SimSun" w:hAnsi="SimSun" w:eastAsia="SimSun" w:cs="SimSun"/>
          <w:sz w:val="17"/>
          <w:szCs w:val="17"/>
          <w:color w:val="333333"/>
          <w:spacing w:val="-4"/>
        </w:rPr>
        <w:t>，深刻领会《规划纲要》</w:t>
      </w:r>
      <w:r>
        <w:rPr>
          <w:rFonts w:ascii="SimSun" w:hAnsi="SimSun" w:eastAsia="SimSun" w:cs="SimSun"/>
          <w:sz w:val="17"/>
          <w:szCs w:val="17"/>
          <w:color w:val="333333"/>
          <w:spacing w:val="14"/>
        </w:rPr>
        <w:t> </w:t>
      </w:r>
      <w:r>
        <w:rPr>
          <w:rFonts w:ascii="SimSun" w:hAnsi="SimSun" w:eastAsia="SimSun" w:cs="SimSun"/>
          <w:sz w:val="17"/>
          <w:szCs w:val="17"/>
          <w:color w:val="333333"/>
          <w:spacing w:val="-4"/>
        </w:rPr>
        <w:t>的精神内涵，准确把握《规划</w:t>
      </w:r>
    </w:p>
    <w:p>
      <w:pPr>
        <w:ind w:firstLine="1046"/>
        <w:spacing w:before="129" w:line="187" w:lineRule="auto"/>
        <w:rPr>
          <w:rFonts w:ascii="SimSun" w:hAnsi="SimSun" w:eastAsia="SimSun" w:cs="SimSun"/>
          <w:sz w:val="17"/>
          <w:szCs w:val="17"/>
        </w:rPr>
      </w:pPr>
      <w:r>
        <w:rPr>
          <w:rFonts w:ascii="SimSun" w:hAnsi="SimSun" w:eastAsia="SimSun" w:cs="SimSun"/>
          <w:sz w:val="17"/>
          <w:szCs w:val="17"/>
          <w:color w:val="333333"/>
          <w:spacing w:val="-1"/>
        </w:rPr>
        <w:t>纲要》</w:t>
      </w:r>
      <w:r>
        <w:rPr>
          <w:rFonts w:ascii="SimSun" w:hAnsi="SimSun" w:eastAsia="SimSun" w:cs="SimSun"/>
          <w:sz w:val="17"/>
          <w:szCs w:val="17"/>
          <w:color w:val="333333"/>
          <w:spacing w:val="59"/>
          <w:w w:val="101"/>
        </w:rPr>
        <w:t> </w:t>
      </w:r>
      <w:r>
        <w:rPr>
          <w:rFonts w:ascii="SimSun" w:hAnsi="SimSun" w:eastAsia="SimSun" w:cs="SimSun"/>
          <w:sz w:val="17"/>
          <w:szCs w:val="17"/>
          <w:color w:val="333333"/>
          <w:spacing w:val="-1"/>
        </w:rPr>
        <w:t>的各项具体工作措施，为《规划纲要》</w:t>
      </w:r>
      <w:r>
        <w:rPr>
          <w:rFonts w:ascii="SimSun" w:hAnsi="SimSun" w:eastAsia="SimSun" w:cs="SimSun"/>
          <w:sz w:val="17"/>
          <w:szCs w:val="17"/>
          <w:color w:val="333333"/>
          <w:spacing w:val="16"/>
        </w:rPr>
        <w:t> </w:t>
      </w:r>
      <w:r>
        <w:rPr>
          <w:rFonts w:ascii="SimSun" w:hAnsi="SimSun" w:eastAsia="SimSun" w:cs="SimSun"/>
          <w:sz w:val="17"/>
          <w:szCs w:val="17"/>
          <w:color w:val="333333"/>
          <w:spacing w:val="-1"/>
        </w:rPr>
        <w:t>的贯彻落实作好准备；</w:t>
      </w:r>
      <w:r>
        <w:rPr>
          <w:rFonts w:ascii="SimSun" w:hAnsi="SimSun" w:eastAsia="SimSun" w:cs="SimSun"/>
          <w:sz w:val="17"/>
          <w:szCs w:val="17"/>
          <w:color w:val="333333"/>
          <w:spacing w:val="41"/>
        </w:rPr>
        <w:t> </w:t>
      </w:r>
      <w:r>
        <w:rPr>
          <w:rFonts w:ascii="SimSun" w:hAnsi="SimSun" w:eastAsia="SimSun" w:cs="SimSun"/>
          <w:sz w:val="17"/>
          <w:szCs w:val="17"/>
          <w:color w:val="333333"/>
          <w:spacing w:val="-1"/>
        </w:rPr>
        <w:t>各级会计行业组织要充分发挥联动效应，积极开展《规划纲</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rPr>
        <w:t>要》的宣传和学习活动，切实发挥会计行业组织的引导作用。</w:t>
      </w:r>
    </w:p>
    <w:p>
      <w:pPr>
        <w:ind w:firstLine="1392"/>
        <w:spacing w:before="301" w:line="187" w:lineRule="auto"/>
        <w:rPr>
          <w:rFonts w:ascii="SimSun" w:hAnsi="SimSun" w:eastAsia="SimSun" w:cs="SimSun"/>
          <w:sz w:val="17"/>
          <w:szCs w:val="17"/>
        </w:rPr>
      </w:pPr>
      <w:r>
        <w:rPr>
          <w:rFonts w:ascii="SimSun" w:hAnsi="SimSun" w:eastAsia="SimSun" w:cs="SimSun"/>
          <w:sz w:val="17"/>
          <w:szCs w:val="17"/>
          <w:color w:val="333333"/>
          <w:spacing w:val="-4"/>
        </w:rPr>
        <w:t>二是明确任务分工。我们将编制《〈会计改革与发展“十四五”规划纲要〉</w:t>
      </w:r>
      <w:r>
        <w:rPr>
          <w:rFonts w:ascii="SimSun" w:hAnsi="SimSun" w:eastAsia="SimSun" w:cs="SimSun"/>
          <w:sz w:val="17"/>
          <w:szCs w:val="17"/>
          <w:color w:val="333333"/>
          <w:spacing w:val="78"/>
          <w:w w:val="101"/>
        </w:rPr>
        <w:t> </w:t>
      </w:r>
      <w:r>
        <w:rPr>
          <w:rFonts w:ascii="SimSun" w:hAnsi="SimSun" w:eastAsia="SimSun" w:cs="SimSun"/>
          <w:sz w:val="17"/>
          <w:szCs w:val="17"/>
          <w:color w:val="333333"/>
          <w:spacing w:val="-4"/>
        </w:rPr>
        <w:t>任务分工方案》</w:t>
      </w:r>
      <w:r>
        <w:rPr>
          <w:rFonts w:ascii="SimSun" w:hAnsi="SimSun" w:eastAsia="SimSun" w:cs="SimSun"/>
          <w:sz w:val="17"/>
          <w:szCs w:val="17"/>
          <w:color w:val="333333"/>
          <w:spacing w:val="25"/>
        </w:rPr>
        <w:t> </w:t>
      </w:r>
      <w:r>
        <w:rPr>
          <w:rFonts w:ascii="SimSun" w:hAnsi="SimSun" w:eastAsia="SimSun" w:cs="SimSun"/>
          <w:sz w:val="17"/>
          <w:szCs w:val="17"/>
          <w:color w:val="333333"/>
          <w:spacing w:val="-4"/>
        </w:rPr>
        <w:t>，对《规划纲要》</w:t>
      </w:r>
      <w:r>
        <w:rPr>
          <w:rFonts w:ascii="SimSun" w:hAnsi="SimSun" w:eastAsia="SimSun" w:cs="SimSun"/>
          <w:sz w:val="17"/>
          <w:szCs w:val="17"/>
          <w:color w:val="333333"/>
          <w:spacing w:val="1"/>
        </w:rPr>
        <w:t> </w:t>
      </w:r>
      <w:r>
        <w:rPr>
          <w:rFonts w:ascii="SimSun" w:hAnsi="SimSun" w:eastAsia="SimSun" w:cs="SimSun"/>
          <w:sz w:val="17"/>
          <w:szCs w:val="17"/>
          <w:color w:val="333333"/>
          <w:spacing w:val="-4"/>
        </w:rPr>
        <w:t>部署的各项工作</w:t>
      </w:r>
    </w:p>
    <w:p>
      <w:pPr>
        <w:ind w:firstLine="1043"/>
        <w:spacing w:before="129" w:line="187" w:lineRule="auto"/>
        <w:rPr>
          <w:rFonts w:ascii="SimSun" w:hAnsi="SimSun" w:eastAsia="SimSun" w:cs="SimSun"/>
          <w:sz w:val="17"/>
          <w:szCs w:val="17"/>
        </w:rPr>
      </w:pPr>
      <w:r>
        <w:rPr>
          <w:rFonts w:ascii="SimSun" w:hAnsi="SimSun" w:eastAsia="SimSun" w:cs="SimSun"/>
          <w:sz w:val="17"/>
          <w:szCs w:val="17"/>
          <w:color w:val="333333"/>
          <w:spacing w:val="2"/>
        </w:rPr>
        <w:t>任务逐一分解，细化目标，明确责任分工，确定牵头单位，推动各有关方面认真抓好落实，确保各项任务能够按期完成。有条件的</w:t>
      </w:r>
    </w:p>
    <w:p>
      <w:pPr>
        <w:ind w:firstLine="1046"/>
        <w:spacing w:before="129" w:line="187" w:lineRule="auto"/>
        <w:rPr>
          <w:rFonts w:ascii="SimSun" w:hAnsi="SimSun" w:eastAsia="SimSun" w:cs="SimSun"/>
          <w:sz w:val="17"/>
          <w:szCs w:val="17"/>
        </w:rPr>
      </w:pPr>
      <w:r>
        <w:rPr>
          <w:rFonts w:ascii="SimSun" w:hAnsi="SimSun" w:eastAsia="SimSun" w:cs="SimSun"/>
          <w:sz w:val="17"/>
          <w:szCs w:val="17"/>
          <w:color w:val="333333"/>
          <w:spacing w:val="-1"/>
        </w:rPr>
        <w:t>各级财政部门和中央有关主管单位要结合本地区（部门）</w:t>
      </w:r>
      <w:r>
        <w:rPr>
          <w:rFonts w:ascii="SimSun" w:hAnsi="SimSun" w:eastAsia="SimSun" w:cs="SimSun"/>
          <w:sz w:val="17"/>
          <w:szCs w:val="17"/>
          <w:color w:val="333333"/>
          <w:spacing w:val="38"/>
        </w:rPr>
        <w:t> </w:t>
      </w:r>
      <w:r>
        <w:rPr>
          <w:rFonts w:ascii="SimSun" w:hAnsi="SimSun" w:eastAsia="SimSun" w:cs="SimSun"/>
          <w:sz w:val="17"/>
          <w:szCs w:val="17"/>
          <w:color w:val="333333"/>
          <w:spacing w:val="-1"/>
        </w:rPr>
        <w:t>具体实际，找准切入点、着力点、创新点，研究制定本地区（部门）</w:t>
      </w:r>
      <w:r>
        <w:rPr>
          <w:rFonts w:ascii="SimSun" w:hAnsi="SimSun" w:eastAsia="SimSun" w:cs="SimSun"/>
          <w:sz w:val="17"/>
          <w:szCs w:val="17"/>
          <w:color w:val="333333"/>
          <w:spacing w:val="-5"/>
        </w:rPr>
        <w:t> </w:t>
      </w:r>
      <w:r>
        <w:rPr>
          <w:rFonts w:ascii="SimSun" w:hAnsi="SimSun" w:eastAsia="SimSun" w:cs="SimSun"/>
          <w:sz w:val="17"/>
          <w:szCs w:val="17"/>
          <w:color w:val="333333"/>
          <w:spacing w:val="-1"/>
        </w:rPr>
        <w:t>会计</w:t>
      </w:r>
    </w:p>
    <w:p>
      <w:pPr>
        <w:ind w:firstLine="1033"/>
        <w:spacing w:before="129" w:line="187" w:lineRule="auto"/>
        <w:rPr>
          <w:rFonts w:ascii="SimSun" w:hAnsi="SimSun" w:eastAsia="SimSun" w:cs="SimSun"/>
          <w:sz w:val="17"/>
          <w:szCs w:val="17"/>
        </w:rPr>
      </w:pPr>
      <w:r>
        <w:rPr>
          <w:rFonts w:ascii="SimSun" w:hAnsi="SimSun" w:eastAsia="SimSun" w:cs="SimSun"/>
          <w:sz w:val="17"/>
          <w:szCs w:val="17"/>
          <w:color w:val="333333"/>
          <w:spacing w:val="2"/>
        </w:rPr>
        <w:t>“十四五”规划或配套政策措施，确定时间表、路线图，形成具体的重点工作任务，采取切实可行的措施，确保有关重大会计改革</w:t>
      </w:r>
    </w:p>
    <w:p>
      <w:pPr>
        <w:ind w:firstLine="1043"/>
        <w:spacing w:before="129" w:line="187" w:lineRule="auto"/>
        <w:rPr>
          <w:rFonts w:ascii="SimSun" w:hAnsi="SimSun" w:eastAsia="SimSun" w:cs="SimSun"/>
          <w:sz w:val="17"/>
          <w:szCs w:val="17"/>
        </w:rPr>
      </w:pPr>
      <w:r>
        <w:rPr>
          <w:rFonts w:ascii="SimSun" w:hAnsi="SimSun" w:eastAsia="SimSun" w:cs="SimSun"/>
          <w:sz w:val="17"/>
          <w:szCs w:val="17"/>
          <w:color w:val="333333"/>
          <w:spacing w:val="-1"/>
        </w:rPr>
        <w:t>任务如期完成、取得实效。</w:t>
      </w:r>
    </w:p>
    <w:p>
      <w:pPr>
        <w:ind w:firstLine="1389"/>
        <w:spacing w:before="302" w:line="187" w:lineRule="auto"/>
        <w:rPr>
          <w:rFonts w:ascii="SimSun" w:hAnsi="SimSun" w:eastAsia="SimSun" w:cs="SimSun"/>
          <w:sz w:val="17"/>
          <w:szCs w:val="17"/>
        </w:rPr>
      </w:pPr>
      <w:r>
        <w:rPr>
          <w:rFonts w:ascii="SimSun" w:hAnsi="SimSun" w:eastAsia="SimSun" w:cs="SimSun"/>
          <w:sz w:val="17"/>
          <w:szCs w:val="17"/>
          <w:color w:val="333333"/>
          <w:spacing w:val="1"/>
        </w:rPr>
        <w:t>三是加强实施保障。各级财政部门和中央有关主管单位要加强统筹，围绕保障《规划纲要》</w:t>
      </w:r>
      <w:r>
        <w:rPr>
          <w:rFonts w:ascii="SimSun" w:hAnsi="SimSun" w:eastAsia="SimSun" w:cs="SimSun"/>
          <w:sz w:val="17"/>
          <w:szCs w:val="17"/>
          <w:color w:val="333333"/>
          <w:spacing w:val="3"/>
        </w:rPr>
        <w:t> </w:t>
      </w:r>
      <w:r>
        <w:rPr>
          <w:rFonts w:ascii="SimSun" w:hAnsi="SimSun" w:eastAsia="SimSun" w:cs="SimSun"/>
          <w:sz w:val="17"/>
          <w:szCs w:val="17"/>
          <w:color w:val="333333"/>
          <w:spacing w:val="1"/>
        </w:rPr>
        <w:t>落地生根，加强资金保障和其他政</w:t>
      </w:r>
    </w:p>
    <w:p>
      <w:pPr>
        <w:ind w:firstLine="1045"/>
        <w:spacing w:before="129" w:line="187" w:lineRule="auto"/>
        <w:rPr>
          <w:rFonts w:ascii="SimSun" w:hAnsi="SimSun" w:eastAsia="SimSun" w:cs="SimSun"/>
          <w:sz w:val="17"/>
          <w:szCs w:val="17"/>
        </w:rPr>
      </w:pPr>
      <w:r>
        <w:rPr>
          <w:rFonts w:ascii="SimSun" w:hAnsi="SimSun" w:eastAsia="SimSun" w:cs="SimSun"/>
          <w:sz w:val="17"/>
          <w:szCs w:val="17"/>
          <w:color w:val="333333"/>
          <w:spacing w:val="-4"/>
        </w:rPr>
        <w:t>策支持，健全政策协调和工作协同机制；</w:t>
      </w:r>
      <w:r>
        <w:rPr>
          <w:rFonts w:ascii="SimSun" w:hAnsi="SimSun" w:eastAsia="SimSun" w:cs="SimSun"/>
          <w:sz w:val="17"/>
          <w:szCs w:val="17"/>
          <w:color w:val="333333"/>
          <w:spacing w:val="95"/>
        </w:rPr>
        <w:t> </w:t>
      </w:r>
      <w:r>
        <w:rPr>
          <w:rFonts w:ascii="SimSun" w:hAnsi="SimSun" w:eastAsia="SimSun" w:cs="SimSun"/>
          <w:sz w:val="17"/>
          <w:szCs w:val="17"/>
          <w:color w:val="333333"/>
          <w:spacing w:val="-4"/>
        </w:rPr>
        <w:t>要积极推动《规划纲要》</w:t>
      </w:r>
      <w:r>
        <w:rPr>
          <w:rFonts w:ascii="SimSun" w:hAnsi="SimSun" w:eastAsia="SimSun" w:cs="SimSun"/>
          <w:sz w:val="17"/>
          <w:szCs w:val="17"/>
          <w:color w:val="333333"/>
          <w:spacing w:val="15"/>
        </w:rPr>
        <w:t> </w:t>
      </w:r>
      <w:r>
        <w:rPr>
          <w:rFonts w:ascii="SimSun" w:hAnsi="SimSun" w:eastAsia="SimSun" w:cs="SimSun"/>
          <w:sz w:val="17"/>
          <w:szCs w:val="17"/>
          <w:color w:val="333333"/>
          <w:spacing w:val="-4"/>
        </w:rPr>
        <w:t>中重大的会计改革与发展举措与本地区（部门）</w:t>
      </w:r>
      <w:r>
        <w:rPr>
          <w:rFonts w:ascii="SimSun" w:hAnsi="SimSun" w:eastAsia="SimSun" w:cs="SimSun"/>
          <w:sz w:val="17"/>
          <w:szCs w:val="17"/>
          <w:color w:val="333333"/>
          <w:spacing w:val="10"/>
        </w:rPr>
        <w:t> </w:t>
      </w:r>
      <w:r>
        <w:rPr>
          <w:rFonts w:ascii="SimSun" w:hAnsi="SimSun" w:eastAsia="SimSun" w:cs="SimSun"/>
          <w:sz w:val="17"/>
          <w:szCs w:val="17"/>
          <w:color w:val="333333"/>
          <w:spacing w:val="-4"/>
        </w:rPr>
        <w:t>的国民经济和社</w:t>
      </w:r>
    </w:p>
    <w:p>
      <w:pPr>
        <w:ind w:firstLine="1043"/>
        <w:spacing w:before="129" w:line="187" w:lineRule="auto"/>
        <w:rPr>
          <w:rFonts w:ascii="SimSun" w:hAnsi="SimSun" w:eastAsia="SimSun" w:cs="SimSun"/>
          <w:sz w:val="17"/>
          <w:szCs w:val="17"/>
        </w:rPr>
      </w:pPr>
      <w:r>
        <w:rPr>
          <w:rFonts w:ascii="SimSun" w:hAnsi="SimSun" w:eastAsia="SimSun" w:cs="SimSun"/>
          <w:sz w:val="17"/>
          <w:szCs w:val="17"/>
          <w:color w:val="333333"/>
        </w:rPr>
        <w:t>会发展“十四五”规划、财政“十四五”规划的有效衔接，充分发挥会计在推动经济社会发展中的基础性服务功能；</w:t>
      </w:r>
      <w:r>
        <w:rPr>
          <w:rFonts w:ascii="SimSun" w:hAnsi="SimSun" w:eastAsia="SimSun" w:cs="SimSun"/>
          <w:sz w:val="17"/>
          <w:szCs w:val="17"/>
          <w:color w:val="333333"/>
          <w:spacing w:val="64"/>
        </w:rPr>
        <w:t> </w:t>
      </w:r>
      <w:r>
        <w:rPr>
          <w:rFonts w:ascii="SimSun" w:hAnsi="SimSun" w:eastAsia="SimSun" w:cs="SimSun"/>
          <w:sz w:val="17"/>
          <w:szCs w:val="17"/>
          <w:color w:val="333333"/>
        </w:rPr>
        <w:t>要在日常监督</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1"/>
        </w:rPr>
        <w:t>检查过程中，将《规划纲要》</w:t>
      </w:r>
      <w:r>
        <w:rPr>
          <w:rFonts w:ascii="SimSun" w:hAnsi="SimSun" w:eastAsia="SimSun" w:cs="SimSun"/>
          <w:sz w:val="17"/>
          <w:szCs w:val="17"/>
          <w:color w:val="333333"/>
          <w:spacing w:val="22"/>
        </w:rPr>
        <w:t> </w:t>
      </w:r>
      <w:r>
        <w:rPr>
          <w:rFonts w:ascii="SimSun" w:hAnsi="SimSun" w:eastAsia="SimSun" w:cs="SimSun"/>
          <w:sz w:val="17"/>
          <w:szCs w:val="17"/>
          <w:color w:val="333333"/>
          <w:spacing w:val="-1"/>
        </w:rPr>
        <w:t>的落实情况纳入到监督考核范围之中，定期监测评估《规划纲要》</w:t>
      </w:r>
      <w:r>
        <w:rPr>
          <w:rFonts w:ascii="SimSun" w:hAnsi="SimSun" w:eastAsia="SimSun" w:cs="SimSun"/>
          <w:sz w:val="17"/>
          <w:szCs w:val="17"/>
          <w:color w:val="333333"/>
          <w:spacing w:val="13"/>
        </w:rPr>
        <w:t> </w:t>
      </w:r>
      <w:r>
        <w:rPr>
          <w:rFonts w:ascii="SimSun" w:hAnsi="SimSun" w:eastAsia="SimSun" w:cs="SimSun"/>
          <w:sz w:val="17"/>
          <w:szCs w:val="17"/>
          <w:color w:val="333333"/>
          <w:spacing w:val="-1"/>
        </w:rPr>
        <w:t>的落实情况，及时发现和解决出现</w:t>
      </w:r>
    </w:p>
    <w:p>
      <w:pPr>
        <w:ind w:firstLine="1058"/>
        <w:spacing w:before="129" w:line="187" w:lineRule="auto"/>
        <w:rPr>
          <w:rFonts w:ascii="SimSun" w:hAnsi="SimSun" w:eastAsia="SimSun" w:cs="SimSun"/>
          <w:sz w:val="17"/>
          <w:szCs w:val="17"/>
        </w:rPr>
      </w:pPr>
      <w:r>
        <w:rPr>
          <w:rFonts w:ascii="SimSun" w:hAnsi="SimSun" w:eastAsia="SimSun" w:cs="SimSun"/>
          <w:sz w:val="17"/>
          <w:szCs w:val="17"/>
          <w:color w:val="333333"/>
        </w:rPr>
        <w:t>的问题，确保《规划纲要》提出的任务一一落到实处。</w:t>
      </w:r>
    </w:p>
    <w:p>
      <w:pPr>
        <w:ind w:firstLine="1378"/>
        <w:spacing w:before="301" w:line="187" w:lineRule="auto"/>
        <w:rPr>
          <w:rFonts w:ascii="SimSun" w:hAnsi="SimSun" w:eastAsia="SimSun" w:cs="SimSun"/>
          <w:sz w:val="17"/>
          <w:szCs w:val="17"/>
        </w:rPr>
      </w:pPr>
      <w:r>
        <w:rPr>
          <w:rFonts w:ascii="SimSun" w:hAnsi="SimSun" w:eastAsia="SimSun" w:cs="SimSun"/>
          <w:sz w:val="17"/>
          <w:szCs w:val="17"/>
          <w:color w:val="333333"/>
          <w:spacing w:val="1"/>
        </w:rPr>
        <w:t>“大鹏一</w:t>
      </w:r>
      <w:r>
        <w:rPr>
          <w:rFonts w:ascii="SimSun" w:hAnsi="SimSun" w:eastAsia="SimSun" w:cs="SimSun"/>
          <w:sz w:val="17"/>
          <w:szCs w:val="17"/>
          <w:color w:val="333333"/>
          <w:spacing w:val="-10"/>
        </w:rPr>
        <w:t> </w:t>
      </w:r>
      <w:r>
        <w:rPr>
          <w:rFonts w:ascii="SimSun" w:hAnsi="SimSun" w:eastAsia="SimSun" w:cs="SimSun"/>
          <w:sz w:val="17"/>
          <w:szCs w:val="17"/>
          <w:color w:val="333333"/>
          <w:spacing w:val="1"/>
        </w:rPr>
        <w:t>日同风起，扶摇直上九万里”</w:t>
      </w:r>
      <w:r>
        <w:rPr>
          <w:rFonts w:ascii="SimSun" w:hAnsi="SimSun" w:eastAsia="SimSun" w:cs="SimSun"/>
          <w:sz w:val="17"/>
          <w:szCs w:val="17"/>
          <w:color w:val="333333"/>
          <w:spacing w:val="-61"/>
        </w:rPr>
        <w:t> </w:t>
      </w:r>
      <w:r>
        <w:rPr>
          <w:rFonts w:ascii="SimSun" w:hAnsi="SimSun" w:eastAsia="SimSun" w:cs="SimSun"/>
          <w:sz w:val="17"/>
          <w:szCs w:val="17"/>
          <w:color w:val="333333"/>
          <w:spacing w:val="1"/>
        </w:rPr>
        <w:t>。站在“两个一百年”奋斗目标的历史交汇点，全面推进“十四五”时期会计改革与发</w:t>
      </w:r>
    </w:p>
    <w:p>
      <w:pPr>
        <w:ind w:firstLine="1045"/>
        <w:spacing w:before="129" w:line="187" w:lineRule="auto"/>
        <w:rPr>
          <w:rFonts w:ascii="SimSun" w:hAnsi="SimSun" w:eastAsia="SimSun" w:cs="SimSun"/>
          <w:sz w:val="17"/>
          <w:szCs w:val="17"/>
        </w:rPr>
      </w:pPr>
      <w:r>
        <w:rPr>
          <w:rFonts w:ascii="SimSun" w:hAnsi="SimSun" w:eastAsia="SimSun" w:cs="SimSun"/>
          <w:sz w:val="17"/>
          <w:szCs w:val="17"/>
          <w:color w:val="333333"/>
          <w:spacing w:val="1"/>
        </w:rPr>
        <w:t>展的新征程已经开启。全行业将继续辛勤耕耘、奋勇前进，合力推动会计事业再上新台阶，在新时代创造新辉煌。</w:t>
      </w:r>
    </w:p>
    <w:p>
      <w:pPr>
        <w:ind w:firstLine="1039"/>
        <w:spacing w:before="302" w:line="180" w:lineRule="auto"/>
        <w:rPr>
          <w:rFonts w:ascii="Microsoft YaHei" w:hAnsi="Microsoft YaHei" w:eastAsia="Microsoft YaHei" w:cs="Microsoft YaHei"/>
          <w:sz w:val="17"/>
          <w:szCs w:val="17"/>
        </w:rPr>
      </w:pPr>
      <w:r>
        <w:rPr>
          <w:rFonts w:ascii="Microsoft YaHei" w:hAnsi="Microsoft YaHei" w:eastAsia="Microsoft YaHei" w:cs="Microsoft YaHei"/>
          <w:sz w:val="17"/>
          <w:szCs w:val="17"/>
          <w:color w:val="333333"/>
          <w:spacing w:val="1"/>
        </w:rPr>
        <w:t>相关文章:</w:t>
      </w:r>
    </w:p>
    <w:p>
      <w:pPr>
        <w:ind w:firstLine="1040"/>
        <w:spacing w:before="166" w:line="188" w:lineRule="auto"/>
        <w:rPr>
          <w:rFonts w:ascii="Microsoft YaHei" w:hAnsi="Microsoft YaHei" w:eastAsia="Microsoft YaHei" w:cs="Microsoft YaHei"/>
          <w:sz w:val="16"/>
          <w:szCs w:val="16"/>
        </w:rPr>
      </w:pPr>
      <w:hyperlink w:history="true" r:id="rId8">
        <w:r>
          <w:rPr>
            <w:rFonts w:ascii="Microsoft YaHei" w:hAnsi="Microsoft YaHei" w:eastAsia="Microsoft YaHei" w:cs="Microsoft YaHei"/>
            <w:sz w:val="16"/>
            <w:szCs w:val="16"/>
            <w:color w:val="2B50A8"/>
            <w:spacing w:val="1"/>
          </w:rPr>
          <w:t>关于印发《会计改革与发展“十四五”规划纲要》的通知</w:t>
        </w:r>
      </w:hyperlink>
    </w:p>
    <w:p>
      <w:pPr>
        <w:spacing w:line="471" w:lineRule="auto"/>
        <w:rPr>
          <w:rFonts w:ascii="SimSun"/>
          <w:sz w:val="21"/>
        </w:rPr>
      </w:pPr>
      <w:r/>
    </w:p>
    <w:p>
      <w:pPr>
        <w:ind w:firstLine="539"/>
        <w:spacing w:before="46" w:line="218" w:lineRule="exact"/>
        <w:rPr>
          <w:rFonts w:ascii="Arial" w:hAnsi="Arial" w:eastAsia="Arial" w:cs="Arial"/>
          <w:sz w:val="16"/>
          <w:szCs w:val="16"/>
        </w:rPr>
      </w:pPr>
      <w:r>
        <w:rPr>
          <w:rFonts w:ascii="Arial" w:hAnsi="Arial" w:eastAsia="Arial" w:cs="Arial"/>
          <w:sz w:val="16"/>
          <w:szCs w:val="16"/>
          <w:spacing w:val="-1"/>
        </w:rPr>
        <w:t>kjs.mof.gov.cn/zhengcejiedu/202112/t20211209_3773413.htm</w:t>
      </w:r>
      <w:r>
        <w:rPr>
          <w:rFonts w:ascii="Arial" w:hAnsi="Arial" w:eastAsia="Arial" w:cs="Arial"/>
          <w:sz w:val="16"/>
          <w:szCs w:val="16"/>
        </w:rPr>
        <w:t>                                                                                                                                            </w:t>
      </w:r>
      <w:r>
        <w:rPr>
          <w:rFonts w:ascii="Arial" w:hAnsi="Arial" w:eastAsia="Arial" w:cs="Arial"/>
          <w:sz w:val="16"/>
          <w:szCs w:val="16"/>
          <w:spacing w:val="-1"/>
        </w:rPr>
        <w:t>4/5</w:t>
      </w:r>
    </w:p>
    <w:p>
      <w:pPr>
        <w:sectPr>
          <w:headerReference w:type="default" r:id="rId7"/>
          <w:pgSz w:w="11900" w:h="16839"/>
          <w:pgMar w:top="293" w:right="0" w:bottom="0" w:left="0" w:header="0" w:footer="0" w:gutter="0"/>
        </w:sectPr>
        <w:rPr/>
      </w:pPr>
    </w:p>
    <w:p>
      <w:pPr>
        <w:ind w:firstLine="533"/>
        <w:spacing w:before="27" w:line="180" w:lineRule="auto"/>
        <w:rPr>
          <w:rFonts w:ascii="Microsoft YaHei" w:hAnsi="Microsoft YaHei" w:eastAsia="Microsoft YaHei" w:cs="Microsoft YaHei"/>
          <w:sz w:val="16"/>
          <w:szCs w:val="16"/>
        </w:rPr>
      </w:pPr>
      <w:r>
        <w:drawing>
          <wp:anchor distT="0" distB="0" distL="0" distR="0" simplePos="0" relativeHeight="251668480" behindDoc="0" locked="0" layoutInCell="0" allowOverlap="1">
            <wp:simplePos x="0" y="0"/>
            <wp:positionH relativeFrom="page">
              <wp:posOffset>457123</wp:posOffset>
            </wp:positionH>
            <wp:positionV relativeFrom="page">
              <wp:posOffset>1072060</wp:posOffset>
            </wp:positionV>
            <wp:extent cx="6648119" cy="6832"/>
            <wp:effectExtent l="0" t="0" r="0" b="0"/>
            <wp:wrapNone/>
            <wp:docPr id="4" name="IM 4"/>
            <wp:cNvGraphicFramePr/>
            <a:graphic>
              <a:graphicData uri="http://schemas.openxmlformats.org/drawingml/2006/picture">
                <pic:pic>
                  <pic:nvPicPr>
                    <pic:cNvPr id="4" name="IM 4"/>
                    <pic:cNvPicPr/>
                  </pic:nvPicPr>
                  <pic:blipFill>
                    <a:blip r:embed="rId10"/>
                    <a:stretch>
                      <a:fillRect/>
                    </a:stretch>
                  </pic:blipFill>
                  <pic:spPr>
                    <a:xfrm rot="0">
                      <a:off x="0" y="0"/>
                      <a:ext cx="6648119" cy="6832"/>
                    </a:xfrm>
                    <a:prstGeom prst="rect">
                      <a:avLst/>
                    </a:prstGeom>
                  </pic:spPr>
                </pic:pic>
              </a:graphicData>
            </a:graphic>
          </wp:anchor>
        </w:drawing>
      </w:r>
      <w:r>
        <w:drawing>
          <wp:anchor distT="0" distB="0" distL="0" distR="0" simplePos="0" relativeHeight="251666432" behindDoc="0" locked="0" layoutInCell="0" allowOverlap="1">
            <wp:simplePos x="0" y="0"/>
            <wp:positionH relativeFrom="page">
              <wp:posOffset>1304366</wp:posOffset>
            </wp:positionH>
            <wp:positionV relativeFrom="page">
              <wp:posOffset>1557170</wp:posOffset>
            </wp:positionV>
            <wp:extent cx="840409" cy="362127"/>
            <wp:effectExtent l="0" t="0" r="0" b="0"/>
            <wp:wrapNone/>
            <wp:docPr id="5" name="IM 5"/>
            <wp:cNvGraphicFramePr/>
            <a:graphic>
              <a:graphicData uri="http://schemas.openxmlformats.org/drawingml/2006/picture">
                <pic:pic>
                  <pic:nvPicPr>
                    <pic:cNvPr id="5" name="IM 5"/>
                    <pic:cNvPicPr/>
                  </pic:nvPicPr>
                  <pic:blipFill>
                    <a:blip r:embed="rId11"/>
                    <a:stretch>
                      <a:fillRect/>
                    </a:stretch>
                  </pic:blipFill>
                  <pic:spPr>
                    <a:xfrm rot="0">
                      <a:off x="0" y="0"/>
                      <a:ext cx="840409" cy="362127"/>
                    </a:xfrm>
                    <a:prstGeom prst="rect">
                      <a:avLst/>
                    </a:prstGeom>
                  </pic:spPr>
                </pic:pic>
              </a:graphicData>
            </a:graphic>
          </wp:anchor>
        </w:drawing>
      </w:r>
      <w:r>
        <w:drawing>
          <wp:anchor distT="0" distB="0" distL="0" distR="0" simplePos="0" relativeHeight="251667456" behindDoc="0" locked="0" layoutInCell="0" allowOverlap="1">
            <wp:simplePos x="0" y="0"/>
            <wp:positionH relativeFrom="page">
              <wp:posOffset>2172106</wp:posOffset>
            </wp:positionH>
            <wp:positionV relativeFrom="page">
              <wp:posOffset>1523007</wp:posOffset>
            </wp:positionV>
            <wp:extent cx="471449" cy="430454"/>
            <wp:effectExtent l="0" t="0" r="0" b="0"/>
            <wp:wrapNone/>
            <wp:docPr id="6" name="IM 6"/>
            <wp:cNvGraphicFramePr/>
            <a:graphic>
              <a:graphicData uri="http://schemas.openxmlformats.org/drawingml/2006/picture">
                <pic:pic>
                  <pic:nvPicPr>
                    <pic:cNvPr id="6" name="IM 6"/>
                    <pic:cNvPicPr/>
                  </pic:nvPicPr>
                  <pic:blipFill>
                    <a:blip r:embed="rId12"/>
                    <a:stretch>
                      <a:fillRect/>
                    </a:stretch>
                  </pic:blipFill>
                  <pic:spPr>
                    <a:xfrm rot="0">
                      <a:off x="0" y="0"/>
                      <a:ext cx="471449" cy="430454"/>
                    </a:xfrm>
                    <a:prstGeom prst="rect">
                      <a:avLst/>
                    </a:prstGeom>
                  </pic:spPr>
                </pic:pic>
              </a:graphicData>
            </a:graphic>
          </wp:anchor>
        </w:drawing>
      </w:r>
      <w:r>
        <w:rPr>
          <w:rFonts w:ascii="Arial" w:hAnsi="Arial" w:eastAsia="Arial" w:cs="Arial"/>
          <w:sz w:val="16"/>
          <w:szCs w:val="16"/>
          <w:spacing w:val="-1"/>
          <w:position w:val="1"/>
        </w:rPr>
        <w:t>2022/4/27</w:t>
      </w:r>
      <w:r>
        <w:rPr>
          <w:rFonts w:ascii="Arial" w:hAnsi="Arial" w:eastAsia="Arial" w:cs="Arial"/>
          <w:sz w:val="16"/>
          <w:szCs w:val="16"/>
          <w:w w:val="101"/>
          <w:position w:val="1"/>
        </w:rPr>
        <w:t>                             </w:t>
      </w:r>
      <w:r>
        <w:rPr>
          <w:rFonts w:ascii="Microsoft YaHei" w:hAnsi="Microsoft YaHei" w:eastAsia="Microsoft YaHei" w:cs="Microsoft YaHei"/>
          <w:sz w:val="16"/>
          <w:szCs w:val="16"/>
          <w:spacing w:val="-1"/>
        </w:rPr>
        <w:t>推动变革融合</w:t>
      </w:r>
    </w:p>
    <w:p>
      <w:pPr>
        <w:ind w:firstLine="1039"/>
        <w:spacing w:before="75" w:line="180" w:lineRule="auto"/>
        <w:rPr>
          <w:rFonts w:ascii="Microsoft YaHei" w:hAnsi="Microsoft YaHei" w:eastAsia="Microsoft YaHei" w:cs="Microsoft YaHei"/>
          <w:sz w:val="15"/>
          <w:szCs w:val="15"/>
        </w:rPr>
      </w:pPr>
      <w:r>
        <w:rPr>
          <w:rFonts w:ascii="Microsoft YaHei" w:hAnsi="Microsoft YaHei" w:eastAsia="Microsoft YaHei" w:cs="Microsoft YaHei"/>
          <w:sz w:val="15"/>
          <w:szCs w:val="15"/>
          <w:color w:val="333333"/>
          <w:spacing w:val="-1"/>
        </w:rPr>
        <w:t>发布日期:</w:t>
      </w:r>
      <w:r>
        <w:rPr>
          <w:rFonts w:ascii="Microsoft YaHei" w:hAnsi="Microsoft YaHei" w:eastAsia="Microsoft YaHei" w:cs="Microsoft YaHei"/>
          <w:sz w:val="15"/>
          <w:szCs w:val="15"/>
          <w:color w:val="333333"/>
          <w:spacing w:val="10"/>
          <w:w w:val="102"/>
        </w:rPr>
        <w:t>  </w:t>
      </w:r>
      <w:r>
        <w:rPr>
          <w:rFonts w:ascii="Microsoft YaHei" w:hAnsi="Microsoft YaHei" w:eastAsia="Microsoft YaHei" w:cs="Microsoft YaHei"/>
          <w:sz w:val="15"/>
          <w:szCs w:val="15"/>
          <w:color w:val="333333"/>
          <w:spacing w:val="-1"/>
        </w:rPr>
        <w:t>2021年12月10日</w:t>
      </w:r>
    </w:p>
    <w:p>
      <w:pPr>
        <w:rPr/>
      </w:pPr>
      <w:r/>
    </w:p>
    <w:p>
      <w:pPr>
        <w:rPr/>
      </w:pPr>
      <w:r/>
    </w:p>
    <w:p>
      <w:pPr>
        <w:spacing w:line="82" w:lineRule="exact"/>
        <w:rPr/>
      </w:pPr>
      <w:r/>
    </w:p>
    <w:p>
      <w:pPr>
        <w:spacing w:line="14" w:lineRule="auto"/>
        <w:rPr>
          <w:rFonts w:ascii="SimSun"/>
          <w:sz w:val="2"/>
        </w:rPr>
      </w:pPr>
      <w:r>
        <w:rPr>
          <w:rFonts w:ascii="SimSun" w:hAnsi="SimSun" w:eastAsia="SimSun" w:cs="SimSun"/>
          <w:sz w:val="2"/>
          <w:szCs w:val="2"/>
        </w:rPr>
        <w:br w:type="column"/>
      </w:r>
    </w:p>
    <w:p>
      <w:pPr>
        <w:ind w:firstLine="31"/>
        <w:spacing w:before="1" w:line="204" w:lineRule="auto"/>
        <w:rPr>
          <w:rFonts w:ascii="Microsoft YaHei" w:hAnsi="Microsoft YaHei" w:eastAsia="Microsoft YaHei" w:cs="Microsoft YaHei"/>
          <w:sz w:val="16"/>
          <w:szCs w:val="16"/>
        </w:rPr>
      </w:pPr>
      <w:r>
        <w:rPr>
          <w:rFonts w:ascii="Microsoft YaHei" w:hAnsi="Microsoft YaHei" w:eastAsia="Microsoft YaHei" w:cs="Microsoft YaHei"/>
          <w:sz w:val="16"/>
          <w:szCs w:val="16"/>
          <w:spacing w:val="-2"/>
        </w:rPr>
        <w:t>实现提质增效</w:t>
      </w:r>
      <w:r>
        <w:rPr>
          <w:rFonts w:ascii="Microsoft YaHei" w:hAnsi="Microsoft YaHei" w:eastAsia="Microsoft YaHei" w:cs="Microsoft YaHei"/>
          <w:sz w:val="16"/>
          <w:szCs w:val="16"/>
          <w:spacing w:val="6"/>
        </w:rPr>
        <w:t> </w:t>
      </w:r>
      <w:r>
        <w:rPr>
          <w:rFonts w:ascii="Microsoft YaHei" w:hAnsi="Microsoft YaHei" w:eastAsia="Microsoft YaHei" w:cs="Microsoft YaHei"/>
          <w:sz w:val="16"/>
          <w:szCs w:val="16"/>
          <w:spacing w:val="-2"/>
        </w:rPr>
        <w:t>合力推动会计事业再上新台阶</w:t>
      </w:r>
      <w:r>
        <w:rPr>
          <w:rFonts w:ascii="Arial" w:hAnsi="Arial" w:eastAsia="Arial" w:cs="Arial"/>
          <w:sz w:val="16"/>
          <w:szCs w:val="16"/>
          <w:spacing w:val="-2"/>
        </w:rPr>
        <w:t>——</w:t>
      </w:r>
      <w:r>
        <w:rPr>
          <w:rFonts w:ascii="Arial" w:hAnsi="Arial" w:eastAsia="Arial" w:cs="Arial"/>
          <w:sz w:val="16"/>
          <w:szCs w:val="16"/>
          <w:spacing w:val="33"/>
          <w:w w:val="101"/>
        </w:rPr>
        <w:t> </w:t>
      </w:r>
      <w:r>
        <w:rPr>
          <w:rFonts w:ascii="Microsoft YaHei" w:hAnsi="Microsoft YaHei" w:eastAsia="Microsoft YaHei" w:cs="Microsoft YaHei"/>
          <w:sz w:val="16"/>
          <w:szCs w:val="16"/>
          <w:spacing w:val="-2"/>
        </w:rPr>
        <w:t>《会计改革与发展</w:t>
      </w:r>
      <w:r>
        <w:rPr>
          <w:rFonts w:ascii="Arial" w:hAnsi="Arial" w:eastAsia="Arial" w:cs="Arial"/>
          <w:sz w:val="16"/>
          <w:szCs w:val="16"/>
          <w:spacing w:val="-2"/>
        </w:rPr>
        <w:t>“</w:t>
      </w:r>
      <w:r>
        <w:rPr>
          <w:rFonts w:ascii="Microsoft YaHei" w:hAnsi="Microsoft YaHei" w:eastAsia="Microsoft YaHei" w:cs="Microsoft YaHei"/>
          <w:sz w:val="16"/>
          <w:szCs w:val="16"/>
          <w:spacing w:val="-2"/>
        </w:rPr>
        <w:t>十四五</w:t>
      </w:r>
      <w:r>
        <w:rPr>
          <w:rFonts w:ascii="Arial" w:hAnsi="Arial" w:eastAsia="Arial" w:cs="Arial"/>
          <w:sz w:val="16"/>
          <w:szCs w:val="16"/>
          <w:spacing w:val="-2"/>
        </w:rPr>
        <w:t>”</w:t>
      </w:r>
      <w:r>
        <w:rPr>
          <w:rFonts w:ascii="Microsoft YaHei" w:hAnsi="Microsoft YaHei" w:eastAsia="Microsoft YaHei" w:cs="Microsoft YaHei"/>
          <w:sz w:val="16"/>
          <w:szCs w:val="16"/>
          <w:spacing w:val="-2"/>
        </w:rPr>
        <w:t>规划纲要》系列解读之一</w:t>
      </w:r>
    </w:p>
    <w:p>
      <w:pPr>
        <w:ind w:firstLine="4896"/>
        <w:spacing w:before="51" w:line="236" w:lineRule="exact"/>
        <w:textAlignment w:val="center"/>
        <w:rPr/>
      </w:pPr>
      <w:r>
        <w:drawing>
          <wp:inline distT="0" distB="0" distL="0" distR="0">
            <wp:extent cx="150317" cy="150316"/>
            <wp:effectExtent l="0" t="0" r="0" b="0"/>
            <wp:docPr id="7" name="IM 7"/>
            <wp:cNvGraphicFramePr/>
            <a:graphic>
              <a:graphicData uri="http://schemas.openxmlformats.org/drawingml/2006/picture">
                <pic:pic>
                  <pic:nvPicPr>
                    <pic:cNvPr id="7" name="IM 7"/>
                    <pic:cNvPicPr/>
                  </pic:nvPicPr>
                  <pic:blipFill>
                    <a:blip r:embed="rId13"/>
                    <a:stretch>
                      <a:fillRect/>
                    </a:stretch>
                  </pic:blipFill>
                  <pic:spPr>
                    <a:xfrm rot="0">
                      <a:off x="0" y="0"/>
                      <a:ext cx="150317" cy="150316"/>
                    </a:xfrm>
                    <a:prstGeom prst="rect">
                      <a:avLst/>
                    </a:prstGeom>
                  </pic:spPr>
                </pic:pic>
              </a:graphicData>
            </a:graphic>
          </wp:inline>
        </w:drawing>
      </w:r>
    </w:p>
    <w:p>
      <w:pPr>
        <w:spacing w:line="251" w:lineRule="auto"/>
        <w:rPr>
          <w:rFonts w:ascii="SimSun"/>
          <w:sz w:val="21"/>
        </w:rPr>
      </w:pPr>
      <w:r/>
    </w:p>
    <w:p>
      <w:pPr>
        <w:ind w:firstLine="4788"/>
        <w:spacing w:before="64" w:line="181" w:lineRule="auto"/>
        <w:rPr>
          <w:rFonts w:ascii="Microsoft YaHei" w:hAnsi="Microsoft YaHei" w:eastAsia="Microsoft YaHei" w:cs="Microsoft YaHei"/>
          <w:sz w:val="13"/>
          <w:szCs w:val="13"/>
        </w:rPr>
      </w:pPr>
      <w:r>
        <w:rPr>
          <w:rFonts w:ascii="Microsoft YaHei" w:hAnsi="Microsoft YaHei" w:eastAsia="Microsoft YaHei" w:cs="Microsoft YaHei"/>
          <w:sz w:val="15"/>
          <w:szCs w:val="15"/>
          <w:color w:val="333333"/>
          <w:spacing w:val="-8"/>
        </w:rPr>
        <w:t>【</w:t>
      </w:r>
      <w:r>
        <w:rPr>
          <w:rFonts w:ascii="Microsoft YaHei" w:hAnsi="Microsoft YaHei" w:eastAsia="Microsoft YaHei" w:cs="Microsoft YaHei"/>
          <w:sz w:val="15"/>
          <w:szCs w:val="15"/>
          <w:color w:val="333333"/>
          <w:w w:val="101"/>
        </w:rPr>
        <w:t> </w:t>
      </w:r>
      <w:r>
        <w:rPr>
          <w:rFonts w:ascii="Microsoft YaHei" w:hAnsi="Microsoft YaHei" w:eastAsia="Microsoft YaHei" w:cs="Microsoft YaHei"/>
          <w:sz w:val="13"/>
          <w:szCs w:val="13"/>
          <w:color w:val="333333"/>
          <w:spacing w:val="-8"/>
        </w:rPr>
        <w:t>大</w:t>
      </w:r>
      <w:r>
        <w:rPr>
          <w:rFonts w:ascii="Microsoft YaHei" w:hAnsi="Microsoft YaHei" w:eastAsia="Microsoft YaHei" w:cs="Microsoft YaHei"/>
          <w:sz w:val="13"/>
          <w:szCs w:val="13"/>
          <w:color w:val="333333"/>
          <w:spacing w:val="10"/>
          <w:w w:val="101"/>
        </w:rPr>
        <w:t> </w:t>
      </w:r>
      <w:r>
        <w:rPr>
          <w:rFonts w:ascii="Microsoft YaHei" w:hAnsi="Microsoft YaHei" w:eastAsia="Microsoft YaHei" w:cs="Microsoft YaHei"/>
          <w:sz w:val="13"/>
          <w:szCs w:val="13"/>
          <w:color w:val="333333"/>
          <w:spacing w:val="-8"/>
        </w:rPr>
        <w:t>中</w:t>
      </w:r>
      <w:r>
        <w:rPr>
          <w:rFonts w:ascii="Microsoft YaHei" w:hAnsi="Microsoft YaHei" w:eastAsia="Microsoft YaHei" w:cs="Microsoft YaHei"/>
          <w:sz w:val="13"/>
          <w:szCs w:val="13"/>
          <w:color w:val="333333"/>
          <w:spacing w:val="2"/>
        </w:rPr>
        <w:t> </w:t>
      </w:r>
      <w:r>
        <w:rPr>
          <w:rFonts w:ascii="Microsoft YaHei" w:hAnsi="Microsoft YaHei" w:eastAsia="Microsoft YaHei" w:cs="Microsoft YaHei"/>
          <w:sz w:val="13"/>
          <w:szCs w:val="13"/>
          <w:color w:val="333333"/>
          <w:spacing w:val="-8"/>
        </w:rPr>
        <w:t>小</w:t>
      </w:r>
      <w:r>
        <w:rPr>
          <w:rFonts w:ascii="Microsoft YaHei" w:hAnsi="Microsoft YaHei" w:eastAsia="Microsoft YaHei" w:cs="Microsoft YaHei"/>
          <w:sz w:val="13"/>
          <w:szCs w:val="13"/>
          <w:color w:val="333333"/>
          <w:spacing w:val="14"/>
          <w:w w:val="102"/>
        </w:rPr>
        <w:t> </w:t>
      </w:r>
      <w:r>
        <w:rPr>
          <w:rFonts w:ascii="Microsoft YaHei" w:hAnsi="Microsoft YaHei" w:eastAsia="Microsoft YaHei" w:cs="Microsoft YaHei"/>
          <w:sz w:val="15"/>
          <w:szCs w:val="15"/>
          <w:color w:val="333333"/>
          <w:spacing w:val="-8"/>
        </w:rPr>
        <w:t>】</w:t>
      </w:r>
      <w:r>
        <w:rPr>
          <w:rFonts w:ascii="Microsoft YaHei" w:hAnsi="Microsoft YaHei" w:eastAsia="Microsoft YaHei" w:cs="Microsoft YaHei"/>
          <w:sz w:val="15"/>
          <w:szCs w:val="15"/>
          <w:color w:val="333333"/>
          <w:spacing w:val="-4"/>
        </w:rPr>
        <w:t> </w:t>
      </w:r>
      <w:hyperlink w:history="true" r:id="rId14">
        <w:r>
          <w:rPr>
            <w:rFonts w:ascii="Microsoft YaHei" w:hAnsi="Microsoft YaHei" w:eastAsia="Microsoft YaHei" w:cs="Microsoft YaHei"/>
            <w:sz w:val="13"/>
            <w:szCs w:val="13"/>
            <w:color w:val="007DC1"/>
            <w:spacing w:val="-8"/>
          </w:rPr>
          <w:t>【打印此页】</w:t>
        </w:r>
      </w:hyperlink>
      <w:r>
        <w:rPr>
          <w:rFonts w:ascii="Microsoft YaHei" w:hAnsi="Microsoft YaHei" w:eastAsia="Microsoft YaHei" w:cs="Microsoft YaHei"/>
          <w:sz w:val="13"/>
          <w:szCs w:val="13"/>
          <w:color w:val="007DC1"/>
          <w:spacing w:val="2"/>
          <w:w w:val="101"/>
        </w:rPr>
        <w:t>   </w:t>
      </w:r>
      <w:hyperlink w:history="true" r:id="rId15">
        <w:r>
          <w:rPr>
            <w:rFonts w:ascii="Microsoft YaHei" w:hAnsi="Microsoft YaHei" w:eastAsia="Microsoft YaHei" w:cs="Microsoft YaHei"/>
            <w:sz w:val="13"/>
            <w:szCs w:val="13"/>
            <w:color w:val="333333"/>
            <w:spacing w:val="-8"/>
          </w:rPr>
          <w:t>【关闭窗口】</w:t>
        </w:r>
      </w:hyperlink>
    </w:p>
    <w:p>
      <w:pPr>
        <w:sectPr>
          <w:headerReference w:type="default" r:id="rId9"/>
          <w:pgSz w:w="11900" w:h="16839"/>
          <w:pgMar w:top="293" w:right="0" w:bottom="0" w:left="0" w:header="0" w:footer="0" w:gutter="0"/>
          <w:cols w:equalWidth="0" w:num="2">
            <w:col w:w="3524" w:space="100"/>
            <w:col w:w="8276" w:space="0"/>
          </w:cols>
        </w:sectPr>
        <w:rPr/>
      </w:pPr>
    </w:p>
    <w:p>
      <w:pPr>
        <w:rPr/>
      </w:pPr>
      <w:r/>
    </w:p>
    <w:p>
      <w:pPr>
        <w:rPr/>
      </w:pPr>
      <w:r/>
    </w:p>
    <w:p>
      <w:pPr>
        <w:spacing w:line="70" w:lineRule="exact"/>
        <w:rPr/>
      </w:pPr>
      <w:r/>
    </w:p>
    <w:p>
      <w:pPr>
        <w:sectPr>
          <w:type w:val="continuous"/>
          <w:pgSz w:w="11900" w:h="16839"/>
          <w:pgMar w:top="293" w:right="0" w:bottom="0" w:left="0" w:header="0" w:footer="0" w:gutter="0"/>
          <w:cols w:equalWidth="0" w:num="1">
            <w:col w:w="11900" w:space="0"/>
          </w:cols>
        </w:sectPr>
        <w:rPr/>
      </w:pPr>
    </w:p>
    <w:p>
      <w:pPr>
        <w:ind w:firstLine="6215"/>
        <w:spacing w:before="43" w:line="188" w:lineRule="auto"/>
        <w:rPr>
          <w:rFonts w:ascii="Microsoft YaHei" w:hAnsi="Microsoft YaHei" w:eastAsia="Microsoft YaHei" w:cs="Microsoft YaHei"/>
          <w:sz w:val="16"/>
          <w:szCs w:val="16"/>
        </w:rPr>
      </w:pPr>
      <w:hyperlink w:history="true" r:id="rId16">
        <w:r>
          <w:rPr>
            <w:rFonts w:ascii="Microsoft YaHei" w:hAnsi="Microsoft YaHei" w:eastAsia="Microsoft YaHei" w:cs="Microsoft YaHei"/>
            <w:sz w:val="16"/>
            <w:szCs w:val="16"/>
            <w:color w:val="222222"/>
            <w:spacing w:val="-2"/>
          </w:rPr>
          <w:t>网站地图</w:t>
        </w:r>
      </w:hyperlink>
    </w:p>
    <w:p>
      <w:pPr>
        <w:spacing w:line="14" w:lineRule="auto"/>
        <w:rPr>
          <w:rFonts w:ascii="SimSun"/>
          <w:sz w:val="2"/>
        </w:rPr>
      </w:pPr>
      <w:r>
        <w:rPr>
          <w:rFonts w:ascii="SimSun" w:hAnsi="SimSun" w:eastAsia="SimSun" w:cs="SimSun"/>
          <w:sz w:val="2"/>
          <w:szCs w:val="2"/>
        </w:rPr>
        <w:br w:type="column"/>
      </w:r>
    </w:p>
    <w:p>
      <w:pPr>
        <w:ind w:firstLine="98"/>
        <w:spacing w:before="63" w:line="172" w:lineRule="exact"/>
        <w:textAlignment w:val="center"/>
        <w:rPr/>
      </w:pPr>
      <w:r>
        <w:drawing>
          <wp:inline distT="0" distB="0" distL="0" distR="0">
            <wp:extent cx="6832" cy="109322"/>
            <wp:effectExtent l="0" t="0" r="0" b="0"/>
            <wp:docPr id="8" name="IM 8"/>
            <wp:cNvGraphicFramePr/>
            <a:graphic>
              <a:graphicData uri="http://schemas.openxmlformats.org/drawingml/2006/picture">
                <pic:pic>
                  <pic:nvPicPr>
                    <pic:cNvPr id="8" name="IM 8"/>
                    <pic:cNvPicPr/>
                  </pic:nvPicPr>
                  <pic:blipFill>
                    <a:blip r:embed="rId17"/>
                    <a:stretch>
                      <a:fillRect/>
                    </a:stretch>
                  </pic:blipFill>
                  <pic:spPr>
                    <a:xfrm rot="0">
                      <a:off x="0" y="0"/>
                      <a:ext cx="6832" cy="109322"/>
                    </a:xfrm>
                    <a:prstGeom prst="rect">
                      <a:avLst/>
                    </a:prstGeom>
                  </pic:spPr>
                </pic:pic>
              </a:graphicData>
            </a:graphic>
          </wp:inline>
        </w:drawing>
      </w:r>
    </w:p>
    <w:p>
      <w:pPr>
        <w:spacing w:line="14" w:lineRule="auto"/>
        <w:rPr>
          <w:rFonts w:ascii="SimSun"/>
          <w:sz w:val="2"/>
        </w:rPr>
      </w:pPr>
      <w:r>
        <w:rPr>
          <w:rFonts w:ascii="SimSun" w:hAnsi="SimSun" w:eastAsia="SimSun" w:cs="SimSun"/>
          <w:sz w:val="2"/>
          <w:szCs w:val="2"/>
        </w:rPr>
        <w:br w:type="column"/>
      </w:r>
    </w:p>
    <w:p>
      <w:pPr>
        <w:ind w:firstLine="72"/>
        <w:spacing w:before="41" w:line="188" w:lineRule="auto"/>
        <w:rPr>
          <w:rFonts w:ascii="Microsoft YaHei" w:hAnsi="Microsoft YaHei" w:eastAsia="Microsoft YaHei" w:cs="Microsoft YaHei"/>
          <w:sz w:val="16"/>
          <w:szCs w:val="16"/>
        </w:rPr>
      </w:pPr>
      <w:hyperlink w:history="true" r:id="rId18">
        <w:r>
          <w:rPr>
            <w:rFonts w:ascii="Microsoft YaHei" w:hAnsi="Microsoft YaHei" w:eastAsia="Microsoft YaHei" w:cs="Microsoft YaHei"/>
            <w:sz w:val="16"/>
            <w:szCs w:val="16"/>
            <w:color w:val="222222"/>
          </w:rPr>
          <w:t>联系我们</w:t>
        </w:r>
      </w:hyperlink>
    </w:p>
    <w:p>
      <w:pPr>
        <w:sectPr>
          <w:type w:val="continuous"/>
          <w:pgSz w:w="11900" w:h="16839"/>
          <w:pgMar w:top="293" w:right="0" w:bottom="0" w:left="0" w:header="0" w:footer="0" w:gutter="0"/>
          <w:cols w:equalWidth="0" w:num="3">
            <w:col w:w="6946" w:space="100"/>
            <w:col w:w="181" w:space="100"/>
            <w:col w:w="4573" w:space="0"/>
          </w:cols>
        </w:sectPr>
        <w:rPr/>
      </w:pPr>
    </w:p>
    <w:p>
      <w:pPr>
        <w:ind w:firstLine="6076"/>
        <w:spacing w:before="214" w:line="180"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222222"/>
          <w:spacing w:val="-1"/>
        </w:rPr>
        <w:t>主办单位：中华人民共和国财政部</w:t>
      </w:r>
    </w:p>
    <w:p>
      <w:pPr>
        <w:ind w:firstLine="4402"/>
        <w:spacing w:before="46" w:line="220"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222222"/>
        </w:rPr>
        <w:t>网站标识码：bm14000001</w:t>
      </w:r>
      <w:r>
        <w:rPr>
          <w:rFonts w:ascii="Microsoft YaHei" w:hAnsi="Microsoft YaHei" w:eastAsia="Microsoft YaHei" w:cs="Microsoft YaHei"/>
          <w:sz w:val="14"/>
          <w:szCs w:val="14"/>
          <w:color w:val="222222"/>
          <w:spacing w:val="62"/>
        </w:rPr>
        <w:t> </w:t>
      </w:r>
      <w:hyperlink w:history="true" r:id="rId19">
        <w:r>
          <w:rPr>
            <w:rFonts w:ascii="Microsoft YaHei" w:hAnsi="Microsoft YaHei" w:eastAsia="Microsoft YaHei" w:cs="Microsoft YaHei"/>
            <w:sz w:val="14"/>
            <w:szCs w:val="14"/>
            <w:color w:val="222222"/>
          </w:rPr>
          <w:t>京ICP备05002860号</w:t>
        </w:r>
      </w:hyperlink>
      <w:r>
        <w:rPr>
          <w:rFonts w:ascii="Microsoft YaHei" w:hAnsi="Microsoft YaHei" w:eastAsia="Microsoft YaHei" w:cs="Microsoft YaHei"/>
          <w:sz w:val="14"/>
          <w:szCs w:val="14"/>
          <w:color w:val="222222"/>
          <w:spacing w:val="20"/>
          <w:w w:val="101"/>
        </w:rPr>
        <w:t>  </w:t>
      </w:r>
      <w:hyperlink w:history="true" r:id="rId20">
        <w:r>
          <w:rPr>
            <w:sz w:val="14"/>
            <w:szCs w:val="14"/>
            <w:position w:val="-7"/>
          </w:rPr>
          <w:drawing>
            <wp:inline distT="0" distB="0" distL="0" distR="0">
              <wp:extent cx="136652" cy="136652"/>
              <wp:effectExtent l="0" t="0" r="0" b="0"/>
              <wp:docPr id="9" name="IM 9"/>
              <wp:cNvGraphicFramePr/>
              <a:graphic>
                <a:graphicData uri="http://schemas.openxmlformats.org/drawingml/2006/picture">
                  <pic:pic>
                    <pic:nvPicPr>
                      <pic:cNvPr id="9" name="IM 9"/>
                      <pic:cNvPicPr/>
                    </pic:nvPicPr>
                    <pic:blipFill>
                      <a:blip r:embed="rId21"/>
                      <a:stretch>
                        <a:fillRect/>
                      </a:stretch>
                    </pic:blipFill>
                    <pic:spPr>
                      <a:xfrm rot="0">
                        <a:off x="0" y="0"/>
                        <a:ext cx="136652" cy="136652"/>
                      </a:xfrm>
                      <a:prstGeom prst="rect">
                        <a:avLst/>
                      </a:prstGeom>
                    </pic:spPr>
                  </pic:pic>
                </a:graphicData>
              </a:graphic>
            </wp:inline>
          </w:drawing>
        </w:r>
        <w:r>
          <w:rPr>
            <w:rFonts w:ascii="Microsoft YaHei" w:hAnsi="Microsoft YaHei" w:eastAsia="Microsoft YaHei" w:cs="Microsoft YaHei"/>
            <w:sz w:val="14"/>
            <w:szCs w:val="14"/>
            <w:color w:val="222222"/>
            <w:spacing w:val="-37"/>
          </w:rPr>
          <w:t> </w:t>
        </w:r>
        <w:r>
          <w:rPr>
            <w:rFonts w:ascii="Microsoft YaHei" w:hAnsi="Microsoft YaHei" w:eastAsia="Microsoft YaHei" w:cs="Microsoft YaHei"/>
            <w:sz w:val="14"/>
            <w:szCs w:val="14"/>
            <w:color w:val="222222"/>
          </w:rPr>
          <w:t>京公网安备11010202000006号</w:t>
        </w:r>
      </w:hyperlink>
    </w:p>
    <w:p>
      <w:pPr>
        <w:ind w:firstLine="6144"/>
        <w:spacing w:before="65" w:line="180"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222222"/>
          <w:spacing w:val="-1"/>
        </w:rPr>
        <w:t>技术支持：财政部信息网络中心</w:t>
      </w:r>
    </w:p>
    <w:p>
      <w:pPr>
        <w:ind w:firstLine="5343"/>
        <w:spacing w:before="78" w:line="180"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222222"/>
          <w:spacing w:val="-1"/>
        </w:rPr>
        <w:t>中华人民共和国财政部</w:t>
      </w:r>
      <w:r>
        <w:rPr>
          <w:rFonts w:ascii="Microsoft YaHei" w:hAnsi="Microsoft YaHei" w:eastAsia="Microsoft YaHei" w:cs="Microsoft YaHei"/>
          <w:sz w:val="14"/>
          <w:szCs w:val="14"/>
          <w:color w:val="222222"/>
          <w:spacing w:val="5"/>
        </w:rPr>
        <w:t>  </w:t>
      </w:r>
      <w:r>
        <w:rPr>
          <w:rFonts w:ascii="Microsoft YaHei" w:hAnsi="Microsoft YaHei" w:eastAsia="Microsoft YaHei" w:cs="Microsoft YaHei"/>
          <w:sz w:val="14"/>
          <w:szCs w:val="14"/>
          <w:color w:val="222222"/>
          <w:spacing w:val="-1"/>
        </w:rPr>
        <w:t>版权所有，如需转载，请注明来源</w:t>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3" w:lineRule="auto"/>
        <w:rPr>
          <w:rFonts w:ascii="SimSun"/>
          <w:sz w:val="21"/>
        </w:rPr>
      </w:pPr>
      <w:r/>
    </w:p>
    <w:p>
      <w:pPr>
        <w:spacing w:line="243" w:lineRule="auto"/>
        <w:rPr>
          <w:rFonts w:ascii="SimSun"/>
          <w:sz w:val="21"/>
        </w:rPr>
      </w:pPr>
      <w:r/>
    </w:p>
    <w:p>
      <w:pPr>
        <w:spacing w:line="243" w:lineRule="auto"/>
        <w:rPr>
          <w:rFonts w:ascii="SimSun"/>
          <w:sz w:val="21"/>
        </w:rPr>
      </w:pPr>
      <w:r/>
    </w:p>
    <w:p>
      <w:pPr>
        <w:spacing w:line="243" w:lineRule="auto"/>
        <w:rPr>
          <w:rFonts w:ascii="SimSun"/>
          <w:sz w:val="21"/>
        </w:rPr>
      </w:pPr>
      <w:r/>
    </w:p>
    <w:p>
      <w:pPr>
        <w:spacing w:line="243" w:lineRule="auto"/>
        <w:rPr>
          <w:rFonts w:ascii="SimSun"/>
          <w:sz w:val="21"/>
        </w:rPr>
      </w:pPr>
      <w:r/>
    </w:p>
    <w:p>
      <w:pPr>
        <w:spacing w:line="243" w:lineRule="auto"/>
        <w:rPr>
          <w:rFonts w:ascii="SimSun"/>
          <w:sz w:val="21"/>
        </w:rPr>
      </w:pPr>
      <w:r/>
    </w:p>
    <w:p>
      <w:pPr>
        <w:ind w:firstLine="539"/>
        <w:spacing w:before="47" w:line="218" w:lineRule="exact"/>
        <w:rPr>
          <w:rFonts w:ascii="Arial" w:hAnsi="Arial" w:eastAsia="Arial" w:cs="Arial"/>
          <w:sz w:val="16"/>
          <w:szCs w:val="16"/>
        </w:rPr>
      </w:pPr>
      <w:r>
        <w:rPr>
          <w:rFonts w:ascii="Arial" w:hAnsi="Arial" w:eastAsia="Arial" w:cs="Arial"/>
          <w:sz w:val="16"/>
          <w:szCs w:val="16"/>
          <w:spacing w:val="-1"/>
        </w:rPr>
        <w:t>kjs.mof.gov.cn/zhengcejiedu/202112/t20211209_3773413.htm</w:t>
      </w:r>
      <w:r>
        <w:rPr>
          <w:rFonts w:ascii="Arial" w:hAnsi="Arial" w:eastAsia="Arial" w:cs="Arial"/>
          <w:sz w:val="16"/>
          <w:szCs w:val="16"/>
        </w:rPr>
        <w:t>                                                                                                                                            </w:t>
      </w:r>
      <w:r>
        <w:rPr>
          <w:rFonts w:ascii="Arial" w:hAnsi="Arial" w:eastAsia="Arial" w:cs="Arial"/>
          <w:sz w:val="16"/>
          <w:szCs w:val="16"/>
          <w:spacing w:val="-1"/>
        </w:rPr>
        <w:t>5/5</w:t>
      </w:r>
    </w:p>
    <w:sectPr>
      <w:type w:val="continuous"/>
      <w:pgSz w:w="11900" w:h="16839"/>
      <w:pgMar w:top="293" w:right="0" w:bottom="0" w:left="0" w:header="0" w:footer="0" w:gutter="0"/>
      <w:cols w:equalWidth="0" w:num="1">
        <w:col w:w="11900" w:space="0"/>
      </w:cols>
    </w:sectPr>
  </w:body>
</w:document>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rPr>
        <w:rFonts w:ascii="SimSun"/>
        <w:sz w:val="21"/>
      </w:rPr>
    </w:pPr>
    <w:r>
      <w:drawing>
        <wp:anchor distT="0" distB="0" distL="0" distR="0" simplePos="0" relativeHeight="251658240" behindDoc="0" locked="0" layoutInCell="0" allowOverlap="1">
          <wp:simplePos x="0" y="0"/>
          <wp:positionH relativeFrom="page">
            <wp:posOffset>368299</wp:posOffset>
          </wp:positionH>
          <wp:positionV relativeFrom="page">
            <wp:posOffset>368300</wp:posOffset>
          </wp:positionV>
          <wp:extent cx="6832600" cy="9968762"/>
          <wp:effectExtent l="0" t="0" r="0" b="0"/>
          <wp:wrapNone/>
          <wp:docPr id="3" name="IM 3"/>
          <wp:cNvGraphicFramePr/>
          <a:graphic>
            <a:graphicData uri="http://schemas.openxmlformats.org/drawingml/2006/picture">
              <pic:pic>
                <pic:nvPicPr>
                  <pic:cNvPr id="3" name="IM 3"/>
                  <pic:cNvPicPr/>
                </pic:nvPicPr>
                <pic:blipFill>
                  <a:blip r:embed="rId1"/>
                  <a:stretch>
                    <a:fillRect/>
                  </a:stretch>
                </pic:blipFill>
                <pic:spPr>
                  <a:xfrm rot="0">
                    <a:off x="0" y="0"/>
                    <a:ext cx="6832600" cy="9968762"/>
                  </a:xfrm>
                  <a:prstGeom prst="rect">
                    <a:avLst/>
                  </a:prstGeom>
                </pic:spPr>
              </pic:pic>
            </a:graphicData>
          </a:graphic>
        </wp:anchor>
      </w:drawing>
    </w: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SimSun"/>
        <w:sz w:val="2"/>
      </w:rPr>
    </w:pPr>
    <w:r/>
  </w:p>
</w:hd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color w:val="000000"/>
        <w:kern w:val="0"/>
        <w:snapToGrid w:val="0"/>
      </w:rPr>
    </w:rPrDefault>
  </w:docDefaults>
  <w:style w:type="paragraph" w:styleId="1" w:default="1">
    <w:name w:val="Normal"/>
    <w:semiHidden/>
    <w:qFormat/>
    <w:pPr>
      <w:spacing w:line="240" w:lineRule="w:auto"/>
      <w:jc w:val="left"/>
      <w:autoSpaceDE w:val="0"/>
      <w:autoSpaceDN w:val="0"/>
      <w:adjustRightInd w:val="0"/>
      <w:snapToGrid w:val="0"/>
      <w:kinsoku w:val="0"/>
      <w:textAlignment w:val="baseline"/>
    </w:pPr>
    <w:rPr>
      <w:color w:val="000000"/>
      <w:kern w:val="0"/>
      <w:snapToGrid w:val="0"/>
      <w:noProof w:val="1"/>
    </w:rPr>
  </w:style>
  <w:style w:type="table" w:styleId="2" w:default="1">
    <w:name w:val="Table Normal"/>
    <w:semiHidden/>
    <w:unhideWhenUsed/>
    <w:qFormat/>
    <w:tblPr>
      <w:tblCellMar>
        <w:left w:w="0" w:type="dxa"/>
        <w:right w:w="0" w:type="dxa"/>
        <w:bottom w:w="0" w:type="dxa"/>
        <w:top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hyperlink" Target="http://kjs.mof.gov.cn/gongzuodongtai/202111/t20211126_3769461.htm" TargetMode="External"/><Relationship Id="rId7" Type="http://schemas.openxmlformats.org/officeDocument/2006/relationships/header" Target="header1.xml"/><Relationship Id="rId6" Type="http://schemas.openxmlformats.org/officeDocument/2006/relationships/hyperlink" Target="http://kjs.mof.gov.cn/zhengcejiedu/" TargetMode="External"/><Relationship Id="rId5" Type="http://schemas.openxmlformats.org/officeDocument/2006/relationships/hyperlink" Target="http://kjs.mof.gov.cn/" TargetMode="External"/><Relationship Id="rId4" Type="http://schemas.openxmlformats.org/officeDocument/2006/relationships/hyperlink" Target="http://www.mof.gov.cn/" TargetMode="External"/><Relationship Id="rId3" Type="http://schemas.openxmlformats.org/officeDocument/2006/relationships/hyperlink" Target="javascript:void(0)" TargetMode="External"/><Relationship Id="rId23" Type="http://schemas.openxmlformats.org/officeDocument/2006/relationships/styles" Target="styles.xml"/><Relationship Id="rId22" Type="http://schemas.openxmlformats.org/officeDocument/2006/relationships/settings" Target="settings.xml"/><Relationship Id="rId21" Type="http://schemas.openxmlformats.org/officeDocument/2006/relationships/image" Target="media/image9.png"/><Relationship Id="rId20" Type="http://schemas.openxmlformats.org/officeDocument/2006/relationships/hyperlink" Target="http://www.beian.gov.cn/portal/registerSystemInfo?recordcode=11010202000006" TargetMode="External"/><Relationship Id="rId2" Type="http://schemas.openxmlformats.org/officeDocument/2006/relationships/image" Target="media/image2.png"/><Relationship Id="rId19" Type="http://schemas.openxmlformats.org/officeDocument/2006/relationships/hyperlink" Target="https://beian.miit.gov.cn/#/Integrated/index" TargetMode="External"/><Relationship Id="rId18" Type="http://schemas.openxmlformats.org/officeDocument/2006/relationships/hyperlink" Target="http://www.mof.gov.cn/gywm/" TargetMode="External"/><Relationship Id="rId17" Type="http://schemas.openxmlformats.org/officeDocument/2006/relationships/image" Target="media/image8.jpeg"/><Relationship Id="rId16" Type="http://schemas.openxmlformats.org/officeDocument/2006/relationships/hyperlink" Target="http://www.mof.gov.cn/wzdt/" TargetMode="External"/><Relationship Id="rId15" Type="http://schemas.openxmlformats.org/officeDocument/2006/relationships/hyperlink" Target="javascript:close()" TargetMode="External"/><Relationship Id="rId14" Type="http://schemas.openxmlformats.org/officeDocument/2006/relationships/hyperlink" Target="javascript:window.print()" TargetMode="External"/><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docProps/app.xml><?xml version="1.0" encoding="utf-8"?>
<ap:Properties xmlns:vt="http://schemas.openxmlformats.org/officeDocument/2006/docPropsVTypes" xmlns:ap="http://schemas.openxmlformats.org/officeDocument/2006/extended-properties">
  <ap:Application>Mozilla/5.0 (Windows NT 10.0; WOW64) AppleWebKit/537.36 (KHTML, like Gecko) Chrome/86.0.4240.198 Safari/537.36 QIHU 360SE</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2022-04-27T01:02:29Z</dcterms:created>
</cp:coreProperties>
</file>

<file path=docProps/custom.xml><?xml version="1.0" encoding="utf-8"?>
<op:Properties xmlns:vt="http://schemas.openxmlformats.org/officeDocument/2006/docPropsVTypes" xmlns:op="http://schemas.openxmlformats.org/officeDocument/2006/custom-properties">
  <op:property fmtid="{E94486CC-9CD1-11EB-B3E1-52540006F7B4}" pid="2" name="CRO">
    <vt:lpwstr>wqlLaW5nc29mdCBQREYgdG8gV1BTIDY1</vt:lpwstr>
  </op:property>
  <op:property fmtid="{E94486CC-9CD1-11EB-B3E1-52540006F7B4}" pid="3" name="Created">
    <vt:filetime>2022-04-27T16:21:07</vt:filetime>
  </op:property>
</op:Properties>
</file>